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5A2">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项目六 风险评估程序</w:t>
      </w:r>
    </w:p>
    <w:p w14:paraId="3A32D0ED">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4D4564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14:paraId="491D328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1.掌握在大数据时代如何有效执行分析程序。</w:t>
      </w:r>
    </w:p>
    <w:p w14:paraId="4B7F540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2.掌握风险评估的概念及其在审计工作中的地位、风险评估的信息来源。</w:t>
      </w:r>
    </w:p>
    <w:p w14:paraId="17E011A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3.掌握风险评估阶段询问程序的意义及询问对象、观察和检查程序的主要内容、分析程序的意义及目的。</w:t>
      </w:r>
    </w:p>
    <w:p w14:paraId="0017A72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14:paraId="29899C7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1.能够分析项目任务，分解任务，规划项目进程，明确要完成的成果。</w:t>
      </w:r>
    </w:p>
    <w:p w14:paraId="7F3DB0C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2.能够对完成项目任务的关键事项进行详细梳理及确认。</w:t>
      </w:r>
    </w:p>
    <w:p w14:paraId="7AF8A8B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3.能够熟练使用聚类分析技术、多维海量数据处理方法、批量绘图方法和K-means聚类方法进行数据对比和风险评分。</w:t>
      </w:r>
    </w:p>
    <w:p w14:paraId="76918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14:paraId="41C6327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1.培养学生诚信为本、独立客观的专业态度。</w:t>
      </w:r>
    </w:p>
    <w:p w14:paraId="2791AB4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2.培养学生专业自信、价值创造的职业信念。</w:t>
      </w:r>
    </w:p>
    <w:p w14:paraId="1F7AB0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3.培养学生唯物辩证分析的执业素养。</w:t>
      </w:r>
    </w:p>
    <w:p w14:paraId="14D79FD5">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749585D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14:paraId="7AADEE0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1.风险评估的概念及其在审计工作中的地位、风险评估的信息来源。</w:t>
      </w:r>
    </w:p>
    <w:p w14:paraId="57E9EC7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2.风险评估阶段询问程序的意义及询问对象、观察和检查程序的主要内容、分析程序的意义及目的。</w:t>
      </w:r>
    </w:p>
    <w:p w14:paraId="1C826A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14:paraId="25C7424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1.大数据时代如何有效执行分析程序。</w:t>
      </w:r>
    </w:p>
    <w:p w14:paraId="1BAA786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2.使用聚类分析技术、多维海量数据处理方法、批量绘图方法和K-means聚类方法进行数据对比和风险评分。</w:t>
      </w:r>
    </w:p>
    <w:p w14:paraId="73412C9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6</w:t>
      </w:r>
      <w:r>
        <w:rPr>
          <w:rFonts w:hint="eastAsia"/>
          <w:color w:val="000000"/>
          <w:szCs w:val="24"/>
        </w:rPr>
        <w:t>课时</w:t>
      </w:r>
    </w:p>
    <w:p w14:paraId="6C1F3C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14:paraId="1F1D0AD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5EF0B1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p>
    <w:p w14:paraId="527C5967">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18FF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D6C3839">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1A6D62F0">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7897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86E41B">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364A5EE7">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643C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EEAC20C">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45A6EF9A">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6EFD9216">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14:paraId="6B068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682D6CE8">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610014D3">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57A97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4E400D6">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191A5318">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52F68795">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3" w:type="dxa"/>
          </w:tcPr>
          <w:p w14:paraId="3D602BE8">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591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1E54562C">
            <w:pPr>
              <w:keepNext w:val="0"/>
              <w:keepLines w:val="0"/>
              <w:pageBreakBefore w:val="0"/>
              <w:widowControl/>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1A0000"/>
                <w:kern w:val="0"/>
                <w:sz w:val="21"/>
                <w:szCs w:val="21"/>
                <w:lang w:val="en-US" w:eastAsia="zh-CN" w:bidi="ar"/>
              </w:rPr>
            </w:pPr>
            <w:r>
              <w:rPr>
                <w:rFonts w:hint="eastAsia" w:ascii="宋体" w:hAnsi="宋体" w:eastAsia="宋体" w:cs="宋体"/>
                <w:b w:val="0"/>
                <w:bCs w:val="0"/>
                <w:sz w:val="21"/>
                <w:szCs w:val="21"/>
                <w:lang w:val="en-US" w:eastAsia="zh-CN"/>
              </w:rPr>
              <w:t>2023年，*ST左江被称为“A股最贵ST股”，股价遭遇爆炒。然而“A股最贵ST股”却有退市风险，2023年前三季度公司实现营收3372.21万元，净利润亏损9732.73万元。另外，公司2022年度被出具了保留意见的审计报告，若2023年左江科技经审计的净利润为负值且营业收入低于1亿元，或者公司2022年年报保留意见未消除，且2023年被出具非标准的审计报告，则公司股票面临终止上市的命运。从2023年左江科技披露的信息看，最重要的是5100万元网卡合同履行情况，收入确认与否对其保壳至关重要。这“5100万元合同”的网卡是庆阳市众源时空云科技有限公司（以下简称众源时空）通过旭辉科技从左江韶关采购的2万套网络适配设备。在此之前，左江科技向深交所报备了旭辉科技与左江韶关签订的采购合同，明确旭辉科技以5100万元向左江韶关采购2万套 2*25G 网卡。在2023年12月左江科技三季报问询函回复中，公司称已按《服务器网卡采购合同》约定将2万套网卡发货至旭辉科技，旭辉科技已签收，但尚未确认收入。左江科技前后矛盾的信息披露引发质疑，股价从高位大幅下跌。2023年11月24日，证监会对退市风险公司左江科技立案调查。2024年1月30日，证监会的通报显示，现已初步查明，左江科技2023年披露的财务信息严重不实，涉嫌重大财务造假。</w:t>
            </w:r>
          </w:p>
          <w:p w14:paraId="7F72ABA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黑体" w:hAnsi="黑体" w:eastAsia="黑体"/>
                <w:sz w:val="28"/>
                <w:szCs w:val="28"/>
                <w:vertAlign w:val="baseline"/>
              </w:rPr>
            </w:pPr>
            <w:r>
              <w:rPr>
                <w:rFonts w:hint="eastAsia" w:ascii="黑体" w:hAnsi="黑体" w:eastAsia="黑体" w:cs="黑体"/>
                <w:b/>
                <w:bCs/>
                <w:color w:val="C00000"/>
                <w:sz w:val="21"/>
                <w:szCs w:val="21"/>
                <w:lang w:val="en-US" w:eastAsia="zh-CN"/>
              </w:rPr>
              <w:t>思考与讨论：</w:t>
            </w:r>
            <w:r>
              <w:rPr>
                <w:rFonts w:hint="eastAsia" w:ascii="宋体" w:hAnsi="宋体" w:eastAsia="宋体" w:cs="宋体"/>
                <w:color w:val="1A0000"/>
                <w:kern w:val="0"/>
                <w:sz w:val="21"/>
                <w:szCs w:val="21"/>
                <w:lang w:val="en-US" w:eastAsia="zh-CN" w:bidi="ar"/>
              </w:rPr>
              <w:t>审计师如何使用风险评估分析方法来进行风险防范</w:t>
            </w:r>
            <w:r>
              <w:rPr>
                <w:rFonts w:hint="eastAsia" w:ascii="宋体" w:hAnsi="宋体" w:eastAsia="宋体" w:cs="宋体"/>
                <w:color w:val="190000"/>
                <w:kern w:val="0"/>
                <w:sz w:val="21"/>
                <w:szCs w:val="21"/>
                <w:lang w:val="en-US" w:eastAsia="zh-CN" w:bidi="ar"/>
              </w:rPr>
              <w:t>。</w:t>
            </w:r>
          </w:p>
        </w:tc>
      </w:tr>
    </w:tbl>
    <w:p w14:paraId="698E6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14:paraId="4C0C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035AA0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项目六 风险评估程序</w:t>
            </w:r>
          </w:p>
          <w:p w14:paraId="54EBC9D3">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任务准备</w:t>
            </w:r>
          </w:p>
          <w:p w14:paraId="137275F2">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一、风险评估概述</w:t>
            </w:r>
          </w:p>
          <w:p w14:paraId="0697DA6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风险评估概念</w:t>
            </w:r>
          </w:p>
          <w:p w14:paraId="1B46C9C1">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风险评估是指注册会计师为了了解被审计单位及其环境（包括内部控制），以识别和评估重大错报风险而实施的审计程序。</w:t>
            </w:r>
          </w:p>
          <w:p w14:paraId="67738A25">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（二）</w:t>
            </w:r>
            <w:r>
              <w:rPr>
                <w:rFonts w:hint="eastAsia" w:ascii="宋体" w:hAnsi="宋体" w:eastAsia="宋体" w:cs="宋体"/>
                <w:b/>
                <w:bCs/>
                <w:sz w:val="21"/>
                <w:szCs w:val="21"/>
                <w:lang w:val="en-US" w:eastAsia="zh-CN"/>
              </w:rPr>
              <w:t>风险评估内容</w:t>
            </w:r>
          </w:p>
          <w:p w14:paraId="51E1CD04">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1.询问</w:t>
            </w:r>
          </w:p>
          <w:p w14:paraId="781BFF56">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2.观察和检查</w:t>
            </w:r>
          </w:p>
          <w:p w14:paraId="162CC2E2">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3.分析程序</w:t>
            </w:r>
          </w:p>
          <w:p w14:paraId="4A1E57BF">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二、任务实施技术需求</w:t>
            </w:r>
          </w:p>
          <w:p w14:paraId="7837F918">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（一）数据分析方法</w:t>
            </w:r>
          </w:p>
          <w:p w14:paraId="2A7C67B9">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1.时间趋势分析</w:t>
            </w:r>
          </w:p>
          <w:p w14:paraId="0048C880">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2.结构性分析</w:t>
            </w:r>
          </w:p>
          <w:p w14:paraId="76C5CBF8">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3.比较分析</w:t>
            </w:r>
          </w:p>
          <w:p w14:paraId="4F477A8A">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4.聚类分析</w:t>
            </w:r>
          </w:p>
          <w:p w14:paraId="71A7DE7E">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5.可视化分析</w:t>
            </w:r>
          </w:p>
          <w:p w14:paraId="294FFB0C">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（二）数据分析工具</w:t>
            </w:r>
          </w:p>
          <w:p w14:paraId="4E48576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sklearn(Scikit-learn) 是python 中一个提供机器学习算法的库，是一组简单高效的工具集，其建立在NumPy、Scipy、MatPlotLib库之上，让每个人能够在复杂环境中重复使用。</w:t>
            </w:r>
          </w:p>
          <w:p w14:paraId="169EAE6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OS库提供基本的操作系统交互功能，是python标准库，包含几百个函数，包括常用路径操作、进程管理、环境参数等与操作系统相关的操作。</w:t>
            </w:r>
          </w:p>
          <w:p w14:paraId="7A56602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glob库用来匹配路径文件名，不用遍历整个目录判断文件是否符合。</w:t>
            </w:r>
          </w:p>
          <w:p w14:paraId="44E803D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Pandas库可以对数据进行导入、清洗、处理、统计和输出。</w:t>
            </w:r>
          </w:p>
          <w:p w14:paraId="2750B0C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plotly库是一个基于JavaScript的绘图库，是一个可交互，基于浏览器的绘图库。</w:t>
            </w:r>
          </w:p>
          <w:p w14:paraId="5348600A">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（三）聚类分析</w:t>
            </w:r>
          </w:p>
          <w:p w14:paraId="5ABA9432">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outlineLvl w:val="1"/>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1.聚类分析定义</w:t>
            </w:r>
          </w:p>
          <w:p w14:paraId="2B79A3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2.K-Means聚类算法</w:t>
            </w:r>
          </w:p>
          <w:p w14:paraId="0F4563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pacing w:val="-3"/>
              </w:rPr>
            </w:pPr>
            <w:r>
              <w:rPr>
                <w:rFonts w:hint="eastAsia" w:ascii="宋体" w:hAnsi="宋体" w:eastAsia="宋体" w:cs="宋体"/>
                <w:b w:val="0"/>
                <w:bCs w:val="0"/>
                <w:sz w:val="21"/>
                <w:szCs w:val="21"/>
                <w:lang w:val="en-US" w:eastAsia="zh-CN"/>
              </w:rPr>
              <w:t>K-Means聚类算法</w:t>
            </w:r>
            <w:r>
              <w:rPr>
                <w:rFonts w:hint="eastAsia" w:ascii="宋体" w:hAnsi="宋体" w:eastAsia="宋体" w:cs="宋体"/>
                <w:b w:val="0"/>
                <w:bCs w:val="0"/>
                <w:spacing w:val="-1"/>
              </w:rPr>
              <w:t>是基于划分的聚类算法，通过计算样本点与簇质</w:t>
            </w:r>
            <w:r>
              <w:rPr>
                <w:rFonts w:hint="eastAsia" w:ascii="宋体" w:hAnsi="宋体" w:eastAsia="宋体" w:cs="宋体"/>
                <w:b w:val="0"/>
                <w:bCs w:val="0"/>
                <w:spacing w:val="-2"/>
              </w:rPr>
              <w:t>心的距离，将与簇质心相近的样本点划分为同一类簇。</w:t>
            </w:r>
            <w:r>
              <w:rPr>
                <w:rFonts w:hint="eastAsia" w:ascii="宋体" w:hAnsi="宋体" w:eastAsia="宋体" w:cs="宋体"/>
                <w:b w:val="0"/>
                <w:bCs w:val="0"/>
                <w:spacing w:val="-3"/>
              </w:rPr>
              <w:t>两个样本距离越远，则相</w:t>
            </w:r>
            <w:r>
              <w:rPr>
                <w:rFonts w:hint="eastAsia" w:ascii="宋体" w:hAnsi="宋体" w:eastAsia="宋体" w:cs="宋体"/>
                <w:b w:val="0"/>
                <w:bCs w:val="0"/>
                <w:spacing w:val="-2"/>
              </w:rPr>
              <w:t>似度越低。该算法的优点是算法简单，适合常规数据集</w:t>
            </w:r>
            <w:r>
              <w:rPr>
                <w:rFonts w:hint="eastAsia" w:ascii="宋体" w:hAnsi="宋体" w:eastAsia="宋体" w:cs="宋体"/>
                <w:b w:val="0"/>
                <w:bCs w:val="0"/>
                <w:spacing w:val="-2"/>
                <w:lang w:eastAsia="zh-CN"/>
              </w:rPr>
              <w:t>；</w:t>
            </w:r>
            <w:r>
              <w:rPr>
                <w:rFonts w:hint="eastAsia" w:ascii="宋体" w:hAnsi="宋体" w:eastAsia="宋体" w:cs="宋体"/>
                <w:b w:val="0"/>
                <w:bCs w:val="0"/>
                <w:spacing w:val="-3"/>
              </w:rPr>
              <w:t>缺点在于k值难 确定，且随着数据容量增大，该方法的复杂度会变得很高。</w:t>
            </w:r>
          </w:p>
          <w:p w14:paraId="542F26E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3.层次聚类算法</w:t>
            </w:r>
          </w:p>
          <w:p w14:paraId="15CFC330">
            <w:pPr>
              <w:keepNext w:val="0"/>
              <w:keepLines w:val="0"/>
              <w:pageBreakBefore w:val="0"/>
              <w:numPr>
                <w:ilvl w:val="0"/>
                <w:numId w:val="0"/>
              </w:numPr>
              <w:kinsoku/>
              <w:wordWrap/>
              <w:overflowPunct/>
              <w:topLinePunct w:val="0"/>
              <w:autoSpaceDE/>
              <w:autoSpaceDN/>
              <w:bidi w:val="0"/>
              <w:adjustRightInd/>
              <w:snapToGrid/>
              <w:spacing w:line="252" w:lineRule="auto"/>
              <w:ind w:firstLine="470" w:firstLineChars="200"/>
              <w:jc w:val="both"/>
              <w:textAlignment w:val="auto"/>
              <w:rPr>
                <w:rFonts w:hint="eastAsia" w:ascii="宋体" w:hAnsi="宋体" w:eastAsia="宋体" w:cs="宋体"/>
                <w:b/>
                <w:bCs/>
                <w:spacing w:val="-3"/>
                <w:lang w:val="en-US" w:eastAsia="zh-CN"/>
              </w:rPr>
            </w:pPr>
            <w:r>
              <w:rPr>
                <w:rFonts w:hint="eastAsia" w:ascii="宋体" w:hAnsi="宋体" w:eastAsia="宋体" w:cs="宋体"/>
                <w:b/>
                <w:bCs/>
                <w:spacing w:val="-3"/>
                <w:lang w:val="en-US" w:eastAsia="zh-CN"/>
              </w:rPr>
              <w:t>三、任务实施流程</w:t>
            </w:r>
          </w:p>
          <w:p w14:paraId="1157959F">
            <w:pPr>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ind w:firstLine="422" w:firstLineChars="200"/>
              <w:jc w:val="both"/>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（一）确定相关报表项目</w:t>
            </w:r>
          </w:p>
          <w:p w14:paraId="0B326956">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销售与收款业务涉及的主要财务报表项目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031"/>
              <w:gridCol w:w="2031"/>
              <w:gridCol w:w="2032"/>
            </w:tblGrid>
            <w:tr w14:paraId="4E23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1" w:type="dxa"/>
                  <w:noWrap w:val="0"/>
                  <w:vAlign w:val="center"/>
                </w:tcPr>
                <w:p w14:paraId="5BFFB1BC">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业务类型</w:t>
                  </w:r>
                </w:p>
              </w:tc>
              <w:tc>
                <w:tcPr>
                  <w:tcW w:w="2151" w:type="dxa"/>
                  <w:noWrap w:val="0"/>
                  <w:vAlign w:val="center"/>
                </w:tcPr>
                <w:p w14:paraId="21624A9E">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资产负债表项目</w:t>
                  </w:r>
                </w:p>
              </w:tc>
              <w:tc>
                <w:tcPr>
                  <w:tcW w:w="2151" w:type="dxa"/>
                  <w:noWrap w:val="0"/>
                  <w:vAlign w:val="center"/>
                </w:tcPr>
                <w:p w14:paraId="4604B690">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利润表项目</w:t>
                  </w:r>
                </w:p>
              </w:tc>
              <w:tc>
                <w:tcPr>
                  <w:tcW w:w="2151" w:type="dxa"/>
                  <w:noWrap w:val="0"/>
                  <w:vAlign w:val="center"/>
                </w:tcPr>
                <w:p w14:paraId="6F6C5107">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现金流量表项目</w:t>
                  </w:r>
                </w:p>
              </w:tc>
            </w:tr>
            <w:tr w14:paraId="5232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2151" w:type="dxa"/>
                  <w:noWrap w:val="0"/>
                  <w:vAlign w:val="center"/>
                </w:tcPr>
                <w:p w14:paraId="6F141545">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spacing w:val="1"/>
                      <w:sz w:val="21"/>
                      <w:szCs w:val="21"/>
                    </w:rPr>
                    <w:t>销售与收款业务</w:t>
                  </w:r>
                </w:p>
              </w:tc>
              <w:tc>
                <w:tcPr>
                  <w:tcW w:w="2151" w:type="dxa"/>
                  <w:noWrap w:val="0"/>
                  <w:vAlign w:val="center"/>
                </w:tcPr>
                <w:p w14:paraId="0B1F64E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货币资金</w:t>
                  </w:r>
                </w:p>
                <w:p w14:paraId="5E3CDDC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应收账款</w:t>
                  </w:r>
                </w:p>
                <w:p w14:paraId="1691BAB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应收票据</w:t>
                  </w:r>
                </w:p>
                <w:p w14:paraId="3190BB5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预售账款</w:t>
                  </w:r>
                </w:p>
                <w:p w14:paraId="3E5818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坏账准备</w:t>
                  </w:r>
                </w:p>
              </w:tc>
              <w:tc>
                <w:tcPr>
                  <w:tcW w:w="2151" w:type="dxa"/>
                  <w:noWrap w:val="0"/>
                  <w:vAlign w:val="center"/>
                </w:tcPr>
                <w:p w14:paraId="7F62B09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销售收入</w:t>
                  </w:r>
                </w:p>
                <w:p w14:paraId="58768EEB">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销售费用</w:t>
                  </w:r>
                </w:p>
                <w:p w14:paraId="1C2B96C2">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利润总额</w:t>
                  </w:r>
                </w:p>
                <w:p w14:paraId="4C689BB7">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净利润</w:t>
                  </w:r>
                </w:p>
              </w:tc>
              <w:tc>
                <w:tcPr>
                  <w:tcW w:w="2151" w:type="dxa"/>
                  <w:noWrap w:val="0"/>
                  <w:vAlign w:val="center"/>
                </w:tcPr>
                <w:p w14:paraId="5255DED3">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经营活动现金流入</w:t>
                  </w:r>
                </w:p>
                <w:p w14:paraId="3E7229C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经营活动产生的现金净流量</w:t>
                  </w:r>
                </w:p>
              </w:tc>
            </w:tr>
          </w:tbl>
          <w:p w14:paraId="0A20DE0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（二）选取相关分析指标</w:t>
            </w:r>
          </w:p>
          <w:p w14:paraId="34D912DC">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lang w:val="en-US" w:eastAsia="zh-CN" w:bidi="ar-SA"/>
              </w:rPr>
            </w:pPr>
          </w:p>
          <w:p w14:paraId="25C0F725">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 xml:space="preserve"> 销售与收款业务涉及的主要财务报表指标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710"/>
              <w:gridCol w:w="2995"/>
            </w:tblGrid>
            <w:tr w14:paraId="6AB8D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1139DB0C">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资产负债表相关指标</w:t>
                  </w:r>
                </w:p>
              </w:tc>
              <w:tc>
                <w:tcPr>
                  <w:tcW w:w="2870" w:type="dxa"/>
                  <w:noWrap w:val="0"/>
                  <w:vAlign w:val="center"/>
                </w:tcPr>
                <w:p w14:paraId="4E4A4FE3">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利润表相关指标</w:t>
                  </w:r>
                </w:p>
              </w:tc>
              <w:tc>
                <w:tcPr>
                  <w:tcW w:w="3177" w:type="dxa"/>
                  <w:noWrap w:val="0"/>
                  <w:vAlign w:val="center"/>
                </w:tcPr>
                <w:p w14:paraId="463D3235">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现金流量表相关指标</w:t>
                  </w:r>
                </w:p>
              </w:tc>
            </w:tr>
            <w:tr w14:paraId="4C8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7F7D2974">
                  <w:pPr>
                    <w:spacing w:before="39" w:line="200"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应收账款与收入比</w:t>
                  </w:r>
                </w:p>
              </w:tc>
              <w:tc>
                <w:tcPr>
                  <w:tcW w:w="2870" w:type="dxa"/>
                  <w:noWrap w:val="0"/>
                  <w:vAlign w:val="center"/>
                </w:tcPr>
                <w:p w14:paraId="174EC47F">
                  <w:pPr>
                    <w:spacing w:before="39" w:line="200"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净利润增长率</w:t>
                  </w:r>
                </w:p>
              </w:tc>
              <w:tc>
                <w:tcPr>
                  <w:tcW w:w="3177" w:type="dxa"/>
                  <w:noWrap w:val="0"/>
                  <w:vAlign w:val="center"/>
                </w:tcPr>
                <w:p w14:paraId="3FDC7593">
                  <w:pPr>
                    <w:spacing w:before="40" w:line="199" w:lineRule="auto"/>
                    <w:ind w:left="136"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4"/>
                      <w:sz w:val="21"/>
                      <w:szCs w:val="21"/>
                    </w:rPr>
                    <w:t>净现比</w:t>
                  </w:r>
                </w:p>
              </w:tc>
            </w:tr>
            <w:tr w14:paraId="18D9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4784F4C9">
                  <w:pPr>
                    <w:spacing w:before="30" w:line="192"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应收账款周转率</w:t>
                  </w:r>
                </w:p>
              </w:tc>
              <w:tc>
                <w:tcPr>
                  <w:tcW w:w="2870" w:type="dxa"/>
                  <w:noWrap w:val="0"/>
                  <w:vAlign w:val="center"/>
                </w:tcPr>
                <w:p w14:paraId="7FCAC686">
                  <w:pPr>
                    <w:spacing w:before="30" w:line="192"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利润总额增长率</w:t>
                  </w:r>
                </w:p>
              </w:tc>
              <w:tc>
                <w:tcPr>
                  <w:tcW w:w="3177" w:type="dxa"/>
                  <w:noWrap w:val="0"/>
                  <w:vAlign w:val="center"/>
                </w:tcPr>
                <w:p w14:paraId="4474098D">
                  <w:pPr>
                    <w:spacing w:before="30" w:line="192" w:lineRule="auto"/>
                    <w:ind w:left="136"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现金营运指数</w:t>
                  </w:r>
                </w:p>
              </w:tc>
            </w:tr>
            <w:tr w14:paraId="3CF02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237ABE2E">
                  <w:pPr>
                    <w:spacing w:before="40" w:line="199"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应收票据与收入比</w:t>
                  </w:r>
                </w:p>
              </w:tc>
              <w:tc>
                <w:tcPr>
                  <w:tcW w:w="2870" w:type="dxa"/>
                  <w:noWrap w:val="0"/>
                  <w:vAlign w:val="center"/>
                </w:tcPr>
                <w:p w14:paraId="0C0075C6">
                  <w:pPr>
                    <w:spacing w:before="40" w:line="199"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销售收入增长率</w:t>
                  </w:r>
                </w:p>
              </w:tc>
              <w:tc>
                <w:tcPr>
                  <w:tcW w:w="3177" w:type="dxa"/>
                  <w:noWrap w:val="0"/>
                  <w:vAlign w:val="center"/>
                </w:tcPr>
                <w:p w14:paraId="085D7CB7">
                  <w:pPr>
                    <w:spacing w:before="40" w:line="199" w:lineRule="auto"/>
                    <w:ind w:left="136"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净收益营运指数</w:t>
                  </w:r>
                </w:p>
              </w:tc>
            </w:tr>
            <w:tr w14:paraId="6F9A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695A8581">
                  <w:pPr>
                    <w:spacing w:before="41" w:line="198"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应收票据周转率</w:t>
                  </w:r>
                </w:p>
              </w:tc>
              <w:tc>
                <w:tcPr>
                  <w:tcW w:w="2870" w:type="dxa"/>
                  <w:noWrap w:val="0"/>
                  <w:vAlign w:val="center"/>
                </w:tcPr>
                <w:p w14:paraId="1C7010D9">
                  <w:pPr>
                    <w:spacing w:before="41" w:line="198"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销售毛利率</w:t>
                  </w:r>
                </w:p>
              </w:tc>
              <w:tc>
                <w:tcPr>
                  <w:tcW w:w="3177" w:type="dxa"/>
                  <w:noWrap w:val="0"/>
                  <w:vAlign w:val="center"/>
                </w:tcPr>
                <w:p w14:paraId="6E87E015">
                  <w:pPr>
                    <w:spacing w:before="41" w:line="198" w:lineRule="auto"/>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经营现金流入与销售收入比</w:t>
                  </w:r>
                </w:p>
              </w:tc>
            </w:tr>
            <w:tr w14:paraId="4B64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379F4BE6">
                  <w:pPr>
                    <w:spacing w:before="33" w:line="189"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预收账款与收入比</w:t>
                  </w:r>
                </w:p>
              </w:tc>
              <w:tc>
                <w:tcPr>
                  <w:tcW w:w="2870" w:type="dxa"/>
                  <w:noWrap w:val="0"/>
                  <w:vAlign w:val="center"/>
                </w:tcPr>
                <w:p w14:paraId="2A23C023">
                  <w:pPr>
                    <w:spacing w:before="33" w:line="189"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销售费用与销售收入比</w:t>
                  </w:r>
                </w:p>
              </w:tc>
              <w:tc>
                <w:tcPr>
                  <w:tcW w:w="3177" w:type="dxa"/>
                  <w:noWrap w:val="0"/>
                  <w:vAlign w:val="center"/>
                </w:tcPr>
                <w:p w14:paraId="24213D31">
                  <w:pPr>
                    <w:spacing w:before="40" w:line="199" w:lineRule="auto"/>
                    <w:ind w:left="136" w:leftChars="0"/>
                    <w:jc w:val="center"/>
                    <w:rPr>
                      <w:rFonts w:hint="eastAsia" w:ascii="宋体" w:hAnsi="宋体" w:eastAsia="宋体" w:cs="宋体"/>
                      <w:b/>
                      <w:bCs/>
                      <w:kern w:val="2"/>
                      <w:sz w:val="21"/>
                      <w:szCs w:val="21"/>
                      <w:vertAlign w:val="baseline"/>
                      <w:lang w:val="en-US" w:eastAsia="zh-CN" w:bidi="ar-SA"/>
                    </w:rPr>
                  </w:pPr>
                </w:p>
              </w:tc>
            </w:tr>
            <w:tr w14:paraId="0800F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1599D110">
                  <w:pPr>
                    <w:spacing w:before="44" w:line="196"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预收账款周转率</w:t>
                  </w:r>
                </w:p>
              </w:tc>
              <w:tc>
                <w:tcPr>
                  <w:tcW w:w="2870" w:type="dxa"/>
                  <w:noWrap w:val="0"/>
                  <w:vAlign w:val="center"/>
                </w:tcPr>
                <w:p w14:paraId="4965C48C">
                  <w:pPr>
                    <w:spacing w:before="44" w:line="196"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净资产收益率</w:t>
                  </w:r>
                </w:p>
              </w:tc>
              <w:tc>
                <w:tcPr>
                  <w:tcW w:w="3177" w:type="dxa"/>
                  <w:noWrap w:val="0"/>
                  <w:vAlign w:val="center"/>
                </w:tcPr>
                <w:p w14:paraId="26B3C4A0">
                  <w:pPr>
                    <w:spacing w:before="30" w:line="192" w:lineRule="auto"/>
                    <w:ind w:left="136" w:leftChars="0"/>
                    <w:jc w:val="center"/>
                    <w:rPr>
                      <w:rFonts w:hint="eastAsia" w:ascii="宋体" w:hAnsi="宋体" w:eastAsia="宋体" w:cs="宋体"/>
                      <w:b/>
                      <w:bCs/>
                      <w:kern w:val="2"/>
                      <w:sz w:val="21"/>
                      <w:szCs w:val="21"/>
                      <w:vertAlign w:val="baseline"/>
                      <w:lang w:val="en-US" w:eastAsia="zh-CN" w:bidi="ar-SA"/>
                    </w:rPr>
                  </w:pPr>
                </w:p>
              </w:tc>
            </w:tr>
            <w:tr w14:paraId="1D3C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7278EFC2">
                  <w:pPr>
                    <w:spacing w:before="44" w:line="196"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货币资金与净资产比</w:t>
                  </w:r>
                </w:p>
              </w:tc>
              <w:tc>
                <w:tcPr>
                  <w:tcW w:w="2870" w:type="dxa"/>
                  <w:noWrap w:val="0"/>
                  <w:vAlign w:val="center"/>
                </w:tcPr>
                <w:p w14:paraId="12776F36">
                  <w:pPr>
                    <w:spacing w:before="45" w:line="195"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6"/>
                      <w:sz w:val="21"/>
                      <w:szCs w:val="21"/>
                    </w:rPr>
                    <w:t>净利润</w:t>
                  </w:r>
                </w:p>
              </w:tc>
              <w:tc>
                <w:tcPr>
                  <w:tcW w:w="3177" w:type="dxa"/>
                  <w:noWrap w:val="0"/>
                  <w:vAlign w:val="center"/>
                </w:tcPr>
                <w:p w14:paraId="03EE0551">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1632B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4B6E5C04">
                  <w:pPr>
                    <w:spacing w:before="35" w:line="188"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1"/>
                      <w:sz w:val="21"/>
                      <w:szCs w:val="21"/>
                    </w:rPr>
                    <w:t>有息负债与净资产比</w:t>
                  </w:r>
                </w:p>
              </w:tc>
              <w:tc>
                <w:tcPr>
                  <w:tcW w:w="2870" w:type="dxa"/>
                  <w:noWrap w:val="0"/>
                  <w:vAlign w:val="center"/>
                </w:tcPr>
                <w:p w14:paraId="7ACE4675">
                  <w:pPr>
                    <w:spacing w:before="35" w:line="188"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利润总额</w:t>
                  </w:r>
                </w:p>
              </w:tc>
              <w:tc>
                <w:tcPr>
                  <w:tcW w:w="3177" w:type="dxa"/>
                  <w:noWrap w:val="0"/>
                  <w:vAlign w:val="center"/>
                </w:tcPr>
                <w:p w14:paraId="42A4BA3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572B2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4AC4AC81">
                  <w:pPr>
                    <w:spacing w:before="46" w:line="194"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坏账准备</w:t>
                  </w:r>
                </w:p>
              </w:tc>
              <w:tc>
                <w:tcPr>
                  <w:tcW w:w="2870" w:type="dxa"/>
                  <w:noWrap w:val="0"/>
                  <w:vAlign w:val="center"/>
                </w:tcPr>
                <w:p w14:paraId="7BD316C0">
                  <w:pPr>
                    <w:spacing w:before="45" w:line="195"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销售收入</w:t>
                  </w:r>
                </w:p>
              </w:tc>
              <w:tc>
                <w:tcPr>
                  <w:tcW w:w="3177" w:type="dxa"/>
                  <w:noWrap w:val="0"/>
                  <w:vAlign w:val="center"/>
                </w:tcPr>
                <w:p w14:paraId="236ABE9E">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1E943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1025626B">
                  <w:pPr>
                    <w:spacing w:before="46" w:line="195"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坏账准备率</w:t>
                  </w:r>
                </w:p>
              </w:tc>
              <w:tc>
                <w:tcPr>
                  <w:tcW w:w="2870" w:type="dxa"/>
                  <w:noWrap w:val="0"/>
                  <w:vAlign w:val="center"/>
                </w:tcPr>
                <w:p w14:paraId="4979B601">
                  <w:pPr>
                    <w:spacing w:before="47" w:line="194" w:lineRule="auto"/>
                    <w:ind w:left="143"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7"/>
                      <w:sz w:val="21"/>
                      <w:szCs w:val="21"/>
                    </w:rPr>
                    <w:t>销售费用</w:t>
                  </w:r>
                </w:p>
              </w:tc>
              <w:tc>
                <w:tcPr>
                  <w:tcW w:w="3177" w:type="dxa"/>
                  <w:noWrap w:val="0"/>
                  <w:vAlign w:val="center"/>
                </w:tcPr>
                <w:p w14:paraId="3FB5BA0C">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671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5E02C7C5">
                  <w:pPr>
                    <w:spacing w:before="46" w:line="194"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应收账款</w:t>
                  </w:r>
                </w:p>
              </w:tc>
              <w:tc>
                <w:tcPr>
                  <w:tcW w:w="2870" w:type="dxa"/>
                  <w:noWrap w:val="0"/>
                  <w:vAlign w:val="center"/>
                </w:tcPr>
                <w:p w14:paraId="79CE947D">
                  <w:pPr>
                    <w:spacing w:before="39" w:line="200" w:lineRule="auto"/>
                    <w:ind w:left="143" w:leftChars="0"/>
                    <w:jc w:val="center"/>
                    <w:rPr>
                      <w:rFonts w:hint="eastAsia" w:ascii="宋体" w:hAnsi="宋体" w:eastAsia="宋体" w:cs="宋体"/>
                      <w:b/>
                      <w:bCs/>
                      <w:kern w:val="2"/>
                      <w:sz w:val="21"/>
                      <w:szCs w:val="21"/>
                      <w:vertAlign w:val="baseline"/>
                      <w:lang w:val="en-US" w:eastAsia="zh-CN" w:bidi="ar-SA"/>
                    </w:rPr>
                  </w:pPr>
                </w:p>
              </w:tc>
              <w:tc>
                <w:tcPr>
                  <w:tcW w:w="3177" w:type="dxa"/>
                  <w:noWrap w:val="0"/>
                  <w:vAlign w:val="center"/>
                </w:tcPr>
                <w:p w14:paraId="56D2ADBF">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2899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28B39A99">
                  <w:pPr>
                    <w:spacing w:before="38" w:line="186"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3"/>
                      <w:sz w:val="21"/>
                      <w:szCs w:val="21"/>
                    </w:rPr>
                    <w:t>应收票据</w:t>
                  </w:r>
                </w:p>
              </w:tc>
              <w:tc>
                <w:tcPr>
                  <w:tcW w:w="2870" w:type="dxa"/>
                  <w:noWrap w:val="0"/>
                  <w:vAlign w:val="center"/>
                </w:tcPr>
                <w:p w14:paraId="0CE7BC5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c>
                <w:tcPr>
                  <w:tcW w:w="3177" w:type="dxa"/>
                  <w:noWrap w:val="0"/>
                  <w:vAlign w:val="center"/>
                </w:tcPr>
                <w:p w14:paraId="4A8A573D">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1C1E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44B456F2">
                  <w:pPr>
                    <w:spacing w:before="48" w:line="193"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预收账款</w:t>
                  </w:r>
                </w:p>
              </w:tc>
              <w:tc>
                <w:tcPr>
                  <w:tcW w:w="2870" w:type="dxa"/>
                  <w:noWrap w:val="0"/>
                  <w:vAlign w:val="center"/>
                </w:tcPr>
                <w:p w14:paraId="0202D3AF">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c>
                <w:tcPr>
                  <w:tcW w:w="3177" w:type="dxa"/>
                  <w:noWrap w:val="0"/>
                  <w:vAlign w:val="center"/>
                </w:tcPr>
                <w:p w14:paraId="2C7060CD">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4FDD3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7A1A1242">
                  <w:pPr>
                    <w:spacing w:before="48" w:line="193"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2"/>
                      <w:sz w:val="21"/>
                      <w:szCs w:val="21"/>
                    </w:rPr>
                    <w:t>货币资金</w:t>
                  </w:r>
                </w:p>
              </w:tc>
              <w:tc>
                <w:tcPr>
                  <w:tcW w:w="2870" w:type="dxa"/>
                  <w:noWrap w:val="0"/>
                  <w:vAlign w:val="center"/>
                </w:tcPr>
                <w:p w14:paraId="4EAE49A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c>
                <w:tcPr>
                  <w:tcW w:w="3177" w:type="dxa"/>
                  <w:noWrap w:val="0"/>
                  <w:vAlign w:val="center"/>
                </w:tcPr>
                <w:p w14:paraId="369D9E0E">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6D96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noWrap w:val="0"/>
                  <w:vAlign w:val="center"/>
                </w:tcPr>
                <w:p w14:paraId="1207B587">
                  <w:pPr>
                    <w:spacing w:before="40" w:line="196" w:lineRule="auto"/>
                    <w:ind w:left="134" w:leftChars="0"/>
                    <w:jc w:val="center"/>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spacing w:val="3"/>
                      <w:sz w:val="21"/>
                      <w:szCs w:val="21"/>
                    </w:rPr>
                    <w:t>有息负债</w:t>
                  </w:r>
                </w:p>
              </w:tc>
              <w:tc>
                <w:tcPr>
                  <w:tcW w:w="2870" w:type="dxa"/>
                  <w:noWrap w:val="0"/>
                  <w:vAlign w:val="center"/>
                </w:tcPr>
                <w:p w14:paraId="6B067381">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c>
                <w:tcPr>
                  <w:tcW w:w="3177" w:type="dxa"/>
                  <w:noWrap w:val="0"/>
                  <w:vAlign w:val="center"/>
                </w:tcPr>
                <w:p w14:paraId="380872E5">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bl>
          <w:p w14:paraId="01DC5DFE">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（三）确定分析方法</w:t>
            </w:r>
          </w:p>
          <w:p w14:paraId="508BFEAF">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 xml:space="preserve"> 销售与收款业务风险评估分析方法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6620"/>
            </w:tblGrid>
            <w:tr w14:paraId="11AC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0" w:type="dxa"/>
                  <w:noWrap w:val="0"/>
                  <w:vAlign w:val="center"/>
                </w:tcPr>
                <w:p w14:paraId="526EE82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分析方法</w:t>
                  </w:r>
                </w:p>
              </w:tc>
              <w:tc>
                <w:tcPr>
                  <w:tcW w:w="7027" w:type="dxa"/>
                  <w:noWrap w:val="0"/>
                  <w:vAlign w:val="center"/>
                </w:tcPr>
                <w:p w14:paraId="5B652BDC">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p>
              </w:tc>
            </w:tr>
            <w:tr w14:paraId="0F3EE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0" w:type="dxa"/>
                  <w:noWrap w:val="0"/>
                  <w:vAlign w:val="center"/>
                </w:tcPr>
                <w:p w14:paraId="46886DBC">
                  <w:pPr>
                    <w:keepNext w:val="0"/>
                    <w:keepLines w:val="0"/>
                    <w:pageBreakBefore w:val="0"/>
                    <w:numPr>
                      <w:ilvl w:val="0"/>
                      <w:numId w:val="0"/>
                    </w:numPr>
                    <w:kinsoku/>
                    <w:wordWrap/>
                    <w:overflowPunct/>
                    <w:topLinePunct w:val="0"/>
                    <w:autoSpaceDE/>
                    <w:autoSpaceDN/>
                    <w:bidi w:val="0"/>
                    <w:adjustRightInd/>
                    <w:snapToGrid/>
                    <w:spacing w:line="252" w:lineRule="auto"/>
                    <w:ind w:left="0" w:leftChars="0" w:firstLine="0" w:firstLineChars="0"/>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时间趋势分析</w:t>
                  </w:r>
                </w:p>
              </w:tc>
              <w:tc>
                <w:tcPr>
                  <w:tcW w:w="7027" w:type="dxa"/>
                  <w:noWrap w:val="0"/>
                  <w:vAlign w:val="center"/>
                </w:tcPr>
                <w:p w14:paraId="1362567B">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对所选指标进行时间趋势分析，收集近5年以上的相关指标数据，分析其业务变化趋势。</w:t>
                  </w:r>
                </w:p>
              </w:tc>
            </w:tr>
            <w:tr w14:paraId="33DD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0" w:type="dxa"/>
                  <w:noWrap w:val="0"/>
                  <w:vAlign w:val="center"/>
                </w:tcPr>
                <w:p w14:paraId="747B1001">
                  <w:pPr>
                    <w:keepNext w:val="0"/>
                    <w:keepLines w:val="0"/>
                    <w:pageBreakBefore w:val="0"/>
                    <w:numPr>
                      <w:ilvl w:val="0"/>
                      <w:numId w:val="0"/>
                    </w:numPr>
                    <w:kinsoku/>
                    <w:wordWrap/>
                    <w:overflowPunct/>
                    <w:topLinePunct w:val="0"/>
                    <w:autoSpaceDE/>
                    <w:autoSpaceDN/>
                    <w:bidi w:val="0"/>
                    <w:adjustRightInd/>
                    <w:snapToGrid/>
                    <w:spacing w:line="252" w:lineRule="auto"/>
                    <w:ind w:left="0" w:leftChars="0" w:firstLine="0" w:firstLineChars="0"/>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比较分析</w:t>
                  </w:r>
                </w:p>
              </w:tc>
              <w:tc>
                <w:tcPr>
                  <w:tcW w:w="7027" w:type="dxa"/>
                  <w:noWrap w:val="0"/>
                  <w:vAlign w:val="center"/>
                </w:tcPr>
                <w:p w14:paraId="1E0C948F">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与可比公司及行业均值进行比较分析，发现被审计单位的异常情况。</w:t>
                  </w:r>
                </w:p>
              </w:tc>
            </w:tr>
            <w:tr w14:paraId="1705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0" w:type="dxa"/>
                  <w:noWrap w:val="0"/>
                  <w:vAlign w:val="center"/>
                </w:tcPr>
                <w:p w14:paraId="7C81141D">
                  <w:pPr>
                    <w:keepNext w:val="0"/>
                    <w:keepLines w:val="0"/>
                    <w:pageBreakBefore w:val="0"/>
                    <w:numPr>
                      <w:ilvl w:val="0"/>
                      <w:numId w:val="0"/>
                    </w:numPr>
                    <w:kinsoku/>
                    <w:wordWrap/>
                    <w:overflowPunct/>
                    <w:topLinePunct w:val="0"/>
                    <w:autoSpaceDE/>
                    <w:autoSpaceDN/>
                    <w:bidi w:val="0"/>
                    <w:adjustRightInd/>
                    <w:snapToGrid/>
                    <w:spacing w:line="252" w:lineRule="auto"/>
                    <w:ind w:left="0" w:leftChars="0" w:firstLine="0" w:firstLineChars="0"/>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可视化分析</w:t>
                  </w:r>
                </w:p>
              </w:tc>
              <w:tc>
                <w:tcPr>
                  <w:tcW w:w="7027" w:type="dxa"/>
                  <w:noWrap w:val="0"/>
                  <w:vAlign w:val="center"/>
                </w:tcPr>
                <w:p w14:paraId="53D5EA5F">
                  <w:pPr>
                    <w:keepNext w:val="0"/>
                    <w:keepLines w:val="0"/>
                    <w:pageBreakBefore w:val="0"/>
                    <w:numPr>
                      <w:ilvl w:val="0"/>
                      <w:numId w:val="0"/>
                    </w:numPr>
                    <w:kinsoku/>
                    <w:wordWrap/>
                    <w:overflowPunct/>
                    <w:topLinePunct w:val="0"/>
                    <w:autoSpaceDE/>
                    <w:autoSpaceDN/>
                    <w:bidi w:val="0"/>
                    <w:adjustRightInd/>
                    <w:snapToGrid/>
                    <w:spacing w:line="252" w:lineRule="auto"/>
                    <w:jc w:val="both"/>
                    <w:textAlignment w:val="auto"/>
                    <w:rPr>
                      <w:rFonts w:hint="eastAsia" w:ascii="宋体" w:hAnsi="宋体" w:eastAsia="宋体" w:cs="宋体"/>
                      <w:b w:val="0"/>
                      <w:bCs w:val="0"/>
                      <w:kern w:val="2"/>
                      <w:sz w:val="21"/>
                      <w:szCs w:val="21"/>
                      <w:vertAlign w:val="baseline"/>
                      <w:lang w:val="en-US" w:eastAsia="zh-CN" w:bidi="ar-SA"/>
                    </w:rPr>
                  </w:pPr>
                  <w:r>
                    <w:rPr>
                      <w:rFonts w:hint="eastAsia" w:ascii="宋体" w:hAnsi="宋体" w:eastAsia="宋体" w:cs="宋体"/>
                      <w:b w:val="0"/>
                      <w:bCs w:val="0"/>
                      <w:kern w:val="2"/>
                      <w:sz w:val="21"/>
                      <w:szCs w:val="21"/>
                      <w:vertAlign w:val="baseline"/>
                      <w:lang w:val="en-US" w:eastAsia="zh-CN" w:bidi="ar-SA"/>
                    </w:rPr>
                    <w:t>对所选指标，可视化展现被审计单位、可比公司、行业均值的比较趋势，发现审计疑点。</w:t>
                  </w:r>
                </w:p>
              </w:tc>
            </w:tr>
          </w:tbl>
          <w:p w14:paraId="2C4E554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（四）选取可比公司</w:t>
            </w:r>
          </w:p>
          <w:p w14:paraId="549BC43D">
            <w:pPr>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ind w:firstLine="422" w:firstLineChars="200"/>
              <w:jc w:val="both"/>
              <w:textAlignment w:val="auto"/>
              <w:outlineLvl w:val="1"/>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（五）可视化呈现与量化评估</w:t>
            </w:r>
          </w:p>
          <w:p w14:paraId="36A7CBE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指标量化评估标准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1696"/>
              <w:gridCol w:w="1740"/>
              <w:gridCol w:w="1651"/>
            </w:tblGrid>
            <w:tr w14:paraId="0997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40" w:type="dxa"/>
                  <w:noWrap w:val="0"/>
                  <w:vAlign w:val="top"/>
                </w:tcPr>
                <w:p w14:paraId="231C99A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评价指标</w:t>
                  </w:r>
                </w:p>
              </w:tc>
              <w:tc>
                <w:tcPr>
                  <w:tcW w:w="1800" w:type="dxa"/>
                  <w:noWrap w:val="0"/>
                  <w:vAlign w:val="top"/>
                </w:tcPr>
                <w:p w14:paraId="5FDB5C4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低风险</w:t>
                  </w:r>
                </w:p>
              </w:tc>
              <w:tc>
                <w:tcPr>
                  <w:tcW w:w="1840" w:type="dxa"/>
                  <w:noWrap w:val="0"/>
                  <w:vAlign w:val="top"/>
                </w:tcPr>
                <w:p w14:paraId="31DAA408">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中风险</w:t>
                  </w:r>
                </w:p>
              </w:tc>
              <w:tc>
                <w:tcPr>
                  <w:tcW w:w="1727" w:type="dxa"/>
                  <w:noWrap w:val="0"/>
                  <w:vAlign w:val="top"/>
                </w:tcPr>
                <w:p w14:paraId="40EB65A9">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kern w:val="2"/>
                      <w:sz w:val="21"/>
                      <w:szCs w:val="21"/>
                      <w:vertAlign w:val="baseline"/>
                      <w:lang w:val="en-US" w:eastAsia="zh-CN" w:bidi="ar-SA"/>
                    </w:rPr>
                  </w:pPr>
                  <w:r>
                    <w:rPr>
                      <w:rFonts w:hint="eastAsia" w:ascii="宋体" w:hAnsi="宋体" w:eastAsia="宋体" w:cs="宋体"/>
                      <w:b/>
                      <w:bCs/>
                      <w:kern w:val="2"/>
                      <w:sz w:val="21"/>
                      <w:szCs w:val="21"/>
                      <w:vertAlign w:val="baseline"/>
                      <w:lang w:val="en-US" w:eastAsia="zh-CN" w:bidi="ar-SA"/>
                    </w:rPr>
                    <w:t>高风险</w:t>
                  </w:r>
                </w:p>
              </w:tc>
            </w:tr>
            <w:tr w14:paraId="445A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noWrap w:val="0"/>
                  <w:vAlign w:val="top"/>
                </w:tcPr>
                <w:p w14:paraId="7A9BB5DF">
                  <w:pPr>
                    <w:spacing w:before="301" w:line="439" w:lineRule="exact"/>
                    <w:ind w:left="125"/>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position w:val="14"/>
                      <w:sz w:val="18"/>
                      <w:szCs w:val="18"/>
                      <w:lang w:val="en-US" w:eastAsia="zh-CN"/>
                    </w:rPr>
                    <w:t>被审计单位审计年度数据与上年数据差异率（纵向差异率）</w:t>
                  </w:r>
                </w:p>
              </w:tc>
              <w:tc>
                <w:tcPr>
                  <w:tcW w:w="1800" w:type="dxa"/>
                  <w:noWrap w:val="0"/>
                  <w:vAlign w:val="center"/>
                </w:tcPr>
                <w:p w14:paraId="331648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sz w:val="18"/>
                      <w:szCs w:val="18"/>
                    </w:rPr>
                    <w:t>差异率绝对值≤10%</w:t>
                  </w:r>
                </w:p>
              </w:tc>
              <w:tc>
                <w:tcPr>
                  <w:tcW w:w="1840" w:type="dxa"/>
                  <w:noWrap w:val="0"/>
                  <w:vAlign w:val="center"/>
                </w:tcPr>
                <w:p w14:paraId="414516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2"/>
                      <w:position w:val="12"/>
                      <w:sz w:val="18"/>
                      <w:szCs w:val="18"/>
                    </w:rPr>
                    <w:t>10%&lt;差异率绝对值≤</w:t>
                  </w:r>
                  <w:r>
                    <w:rPr>
                      <w:rFonts w:hint="eastAsia" w:ascii="宋体" w:hAnsi="宋体" w:eastAsia="宋体" w:cs="宋体"/>
                      <w:spacing w:val="2"/>
                      <w:position w:val="12"/>
                      <w:sz w:val="18"/>
                      <w:szCs w:val="18"/>
                      <w:lang w:val="en-US" w:eastAsia="zh-CN"/>
                    </w:rPr>
                    <w:t>20%</w:t>
                  </w:r>
                </w:p>
              </w:tc>
              <w:tc>
                <w:tcPr>
                  <w:tcW w:w="1727" w:type="dxa"/>
                  <w:noWrap w:val="0"/>
                  <w:vAlign w:val="center"/>
                </w:tcPr>
                <w:p w14:paraId="22E8B76D">
                  <w:pPr>
                    <w:spacing w:before="82" w:line="219" w:lineRule="auto"/>
                    <w:jc w:val="center"/>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sz w:val="18"/>
                      <w:szCs w:val="18"/>
                    </w:rPr>
                    <w:t>差异率绝对值&gt;20%</w:t>
                  </w:r>
                </w:p>
              </w:tc>
            </w:tr>
            <w:tr w14:paraId="25E6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noWrap w:val="0"/>
                  <w:vAlign w:val="top"/>
                </w:tcPr>
                <w:p w14:paraId="58D509F6">
                  <w:pPr>
                    <w:spacing w:before="304" w:line="449" w:lineRule="exact"/>
                    <w:ind w:left="125"/>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2"/>
                      <w:position w:val="14"/>
                      <w:sz w:val="18"/>
                      <w:szCs w:val="18"/>
                    </w:rPr>
                    <w:t>被审计单位审计年度数据与可比公司</w:t>
                  </w:r>
                  <w:r>
                    <w:rPr>
                      <w:rFonts w:hint="eastAsia" w:ascii="宋体" w:hAnsi="宋体" w:eastAsia="宋体" w:cs="宋体"/>
                      <w:spacing w:val="2"/>
                      <w:position w:val="14"/>
                      <w:sz w:val="18"/>
                      <w:szCs w:val="18"/>
                      <w:lang w:val="en-US" w:eastAsia="zh-CN"/>
                    </w:rPr>
                    <w:t>数据差异率（横向可比差异率）</w:t>
                  </w:r>
                </w:p>
              </w:tc>
              <w:tc>
                <w:tcPr>
                  <w:tcW w:w="1800" w:type="dxa"/>
                  <w:noWrap w:val="0"/>
                  <w:vAlign w:val="center"/>
                </w:tcPr>
                <w:p w14:paraId="24BC9C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sz w:val="18"/>
                      <w:szCs w:val="18"/>
                    </w:rPr>
                    <w:t>差异率绝对值≤20%</w:t>
                  </w:r>
                </w:p>
              </w:tc>
              <w:tc>
                <w:tcPr>
                  <w:tcW w:w="1840" w:type="dxa"/>
                  <w:noWrap w:val="0"/>
                  <w:vAlign w:val="center"/>
                </w:tcPr>
                <w:p w14:paraId="33E870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b w:val="0"/>
                      <w:bCs w:val="0"/>
                      <w:kern w:val="2"/>
                      <w:sz w:val="18"/>
                      <w:szCs w:val="18"/>
                      <w:vertAlign w:val="baseline"/>
                      <w:lang w:val="en-US" w:eastAsia="zh-CN" w:bidi="ar-SA"/>
                    </w:rPr>
                    <w:t>20%&lt;差异率绝对值</w:t>
                  </w:r>
                  <w:r>
                    <w:rPr>
                      <w:rFonts w:hint="eastAsia" w:ascii="宋体" w:hAnsi="宋体" w:eastAsia="宋体" w:cs="宋体"/>
                      <w:spacing w:val="1"/>
                      <w:sz w:val="18"/>
                      <w:szCs w:val="18"/>
                    </w:rPr>
                    <w:t>≤</w:t>
                  </w:r>
                  <w:r>
                    <w:rPr>
                      <w:rFonts w:hint="eastAsia" w:ascii="宋体" w:hAnsi="宋体" w:eastAsia="宋体" w:cs="宋体"/>
                      <w:spacing w:val="1"/>
                      <w:sz w:val="18"/>
                      <w:szCs w:val="18"/>
                      <w:lang w:val="en-US" w:eastAsia="zh-CN"/>
                    </w:rPr>
                    <w:t>30%</w:t>
                  </w:r>
                </w:p>
              </w:tc>
              <w:tc>
                <w:tcPr>
                  <w:tcW w:w="1727" w:type="dxa"/>
                  <w:noWrap w:val="0"/>
                  <w:vAlign w:val="center"/>
                </w:tcPr>
                <w:p w14:paraId="6A1A8F70">
                  <w:pPr>
                    <w:spacing w:before="82" w:line="219" w:lineRule="auto"/>
                    <w:jc w:val="center"/>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sz w:val="18"/>
                      <w:szCs w:val="18"/>
                    </w:rPr>
                    <w:t>差异率绝对值&gt;30%</w:t>
                  </w:r>
                </w:p>
              </w:tc>
            </w:tr>
            <w:tr w14:paraId="41C9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noWrap w:val="0"/>
                  <w:vAlign w:val="top"/>
                </w:tcPr>
                <w:p w14:paraId="29AF86F9">
                  <w:pPr>
                    <w:spacing w:before="81" w:line="431" w:lineRule="exact"/>
                    <w:ind w:left="125"/>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position w:val="13"/>
                      <w:sz w:val="18"/>
                      <w:szCs w:val="18"/>
                    </w:rPr>
                    <w:t>被审计单位审计年度数据与行业</w:t>
                  </w:r>
                  <w:r>
                    <w:rPr>
                      <w:rFonts w:hint="eastAsia" w:ascii="宋体" w:hAnsi="宋体" w:eastAsia="宋体" w:cs="宋体"/>
                      <w:spacing w:val="-1"/>
                      <w:position w:val="13"/>
                      <w:sz w:val="18"/>
                      <w:szCs w:val="18"/>
                      <w:lang w:val="en-US" w:eastAsia="zh-CN"/>
                    </w:rPr>
                    <w:t>均值数据差异率（横向行业差异率）</w:t>
                  </w:r>
                </w:p>
              </w:tc>
              <w:tc>
                <w:tcPr>
                  <w:tcW w:w="1800" w:type="dxa"/>
                  <w:noWrap w:val="0"/>
                  <w:vAlign w:val="center"/>
                </w:tcPr>
                <w:p w14:paraId="6078C2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sz w:val="18"/>
                      <w:szCs w:val="18"/>
                    </w:rPr>
                    <w:t>差异率绝对值≤20%</w:t>
                  </w:r>
                </w:p>
              </w:tc>
              <w:tc>
                <w:tcPr>
                  <w:tcW w:w="1840" w:type="dxa"/>
                  <w:noWrap w:val="0"/>
                  <w:vAlign w:val="center"/>
                </w:tcPr>
                <w:p w14:paraId="02B87101">
                  <w:pPr>
                    <w:keepNext w:val="0"/>
                    <w:keepLines w:val="0"/>
                    <w:pageBreakBefore w:val="0"/>
                    <w:widowControl w:val="0"/>
                    <w:kinsoku/>
                    <w:wordWrap/>
                    <w:overflowPunct/>
                    <w:topLinePunct w:val="0"/>
                    <w:autoSpaceDE/>
                    <w:autoSpaceDN/>
                    <w:bidi w:val="0"/>
                    <w:adjustRightInd/>
                    <w:snapToGrid/>
                    <w:spacing w:line="252" w:lineRule="auto"/>
                    <w:ind w:right="0" w:rightChars="0"/>
                    <w:jc w:val="center"/>
                    <w:textAlignment w:val="auto"/>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2"/>
                      <w:sz w:val="18"/>
                      <w:szCs w:val="18"/>
                    </w:rPr>
                    <w:t>20%&lt;</w:t>
                  </w:r>
                  <w:r>
                    <w:rPr>
                      <w:rFonts w:hint="eastAsia" w:ascii="宋体" w:hAnsi="宋体" w:eastAsia="宋体" w:cs="宋体"/>
                      <w:spacing w:val="2"/>
                      <w:sz w:val="18"/>
                      <w:szCs w:val="18"/>
                      <w:lang w:val="en-US" w:eastAsia="zh-CN"/>
                    </w:rPr>
                    <w:t>差异率绝对值</w:t>
                  </w:r>
                  <w:r>
                    <w:rPr>
                      <w:rFonts w:hint="eastAsia" w:ascii="宋体" w:hAnsi="宋体" w:eastAsia="宋体" w:cs="宋体"/>
                      <w:spacing w:val="1"/>
                      <w:sz w:val="18"/>
                      <w:szCs w:val="18"/>
                    </w:rPr>
                    <w:t>≤</w:t>
                  </w:r>
                  <w:r>
                    <w:rPr>
                      <w:rFonts w:hint="eastAsia" w:ascii="宋体" w:hAnsi="宋体" w:eastAsia="宋体" w:cs="宋体"/>
                      <w:spacing w:val="1"/>
                      <w:sz w:val="18"/>
                      <w:szCs w:val="18"/>
                      <w:lang w:val="en-US" w:eastAsia="zh-CN"/>
                    </w:rPr>
                    <w:t>50%</w:t>
                  </w:r>
                </w:p>
              </w:tc>
              <w:tc>
                <w:tcPr>
                  <w:tcW w:w="1727" w:type="dxa"/>
                  <w:noWrap w:val="0"/>
                  <w:vAlign w:val="center"/>
                </w:tcPr>
                <w:p w14:paraId="122A465D">
                  <w:pPr>
                    <w:spacing w:before="81" w:line="219" w:lineRule="auto"/>
                    <w:jc w:val="center"/>
                    <w:rPr>
                      <w:rFonts w:hint="eastAsia" w:ascii="宋体" w:hAnsi="宋体" w:eastAsia="宋体" w:cs="宋体"/>
                      <w:b w:val="0"/>
                      <w:bCs w:val="0"/>
                      <w:kern w:val="2"/>
                      <w:sz w:val="18"/>
                      <w:szCs w:val="18"/>
                      <w:vertAlign w:val="baseline"/>
                      <w:lang w:val="en-US" w:eastAsia="zh-CN" w:bidi="ar-SA"/>
                    </w:rPr>
                  </w:pPr>
                  <w:r>
                    <w:rPr>
                      <w:rFonts w:hint="eastAsia" w:ascii="宋体" w:hAnsi="宋体" w:eastAsia="宋体" w:cs="宋体"/>
                      <w:spacing w:val="1"/>
                      <w:sz w:val="18"/>
                      <w:szCs w:val="18"/>
                    </w:rPr>
                    <w:t>差异率绝对值&gt;50%</w:t>
                  </w:r>
                </w:p>
              </w:tc>
            </w:tr>
          </w:tbl>
          <w:p w14:paraId="068C5081">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指标关注程度综合评估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00"/>
              <w:gridCol w:w="1626"/>
            </w:tblGrid>
            <w:tr w14:paraId="21CE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0" w:type="dxa"/>
                  <w:noWrap w:val="0"/>
                  <w:vAlign w:val="top"/>
                </w:tcPr>
                <w:p w14:paraId="1CD05A92">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指标量化评估结果</w:t>
                  </w:r>
                </w:p>
              </w:tc>
              <w:tc>
                <w:tcPr>
                  <w:tcW w:w="1626" w:type="dxa"/>
                  <w:noWrap w:val="0"/>
                  <w:vAlign w:val="top"/>
                </w:tcPr>
                <w:p w14:paraId="2BA4611F">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指标关注程度</w:t>
                  </w:r>
                </w:p>
              </w:tc>
            </w:tr>
            <w:tr w14:paraId="7047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0" w:type="dxa"/>
                  <w:noWrap w:val="0"/>
                  <w:vAlign w:val="center"/>
                </w:tcPr>
                <w:p w14:paraId="4ED65226">
                  <w:pPr>
                    <w:keepNext w:val="0"/>
                    <w:keepLines w:val="0"/>
                    <w:pageBreakBefore w:val="0"/>
                    <w:numPr>
                      <w:ilvl w:val="0"/>
                      <w:numId w:val="0"/>
                    </w:numPr>
                    <w:kinsoku/>
                    <w:wordWrap/>
                    <w:overflowPunct/>
                    <w:topLinePunct w:val="0"/>
                    <w:autoSpaceDE/>
                    <w:autoSpaceDN/>
                    <w:bidi w:val="0"/>
                    <w:adjustRightInd/>
                    <w:snapToGrid/>
                    <w:spacing w:line="252" w:lineRule="auto"/>
                    <w:jc w:val="left"/>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当三个差异率评价指标均为“高风险”时</w:t>
                  </w:r>
                </w:p>
              </w:tc>
              <w:tc>
                <w:tcPr>
                  <w:tcW w:w="1626" w:type="dxa"/>
                  <w:noWrap w:val="0"/>
                  <w:vAlign w:val="center"/>
                </w:tcPr>
                <w:p w14:paraId="763D9D0E">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重大关注</w:t>
                  </w:r>
                </w:p>
              </w:tc>
            </w:tr>
            <w:tr w14:paraId="6C50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0" w:type="dxa"/>
                  <w:noWrap w:val="0"/>
                  <w:vAlign w:val="center"/>
                </w:tcPr>
                <w:p w14:paraId="4EE89345">
                  <w:pPr>
                    <w:keepNext w:val="0"/>
                    <w:keepLines w:val="0"/>
                    <w:pageBreakBefore w:val="0"/>
                    <w:numPr>
                      <w:ilvl w:val="0"/>
                      <w:numId w:val="0"/>
                    </w:numPr>
                    <w:kinsoku/>
                    <w:wordWrap/>
                    <w:overflowPunct/>
                    <w:topLinePunct w:val="0"/>
                    <w:autoSpaceDE/>
                    <w:autoSpaceDN/>
                    <w:bidi w:val="0"/>
                    <w:adjustRightInd/>
                    <w:snapToGrid/>
                    <w:spacing w:line="252" w:lineRule="auto"/>
                    <w:jc w:val="left"/>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当三个差异率评价指标出现两个“高风险”,或出现一个“高风险”及两个“中风险”时</w:t>
                  </w:r>
                </w:p>
              </w:tc>
              <w:tc>
                <w:tcPr>
                  <w:tcW w:w="1626" w:type="dxa"/>
                  <w:noWrap w:val="0"/>
                  <w:vAlign w:val="center"/>
                </w:tcPr>
                <w:p w14:paraId="33CA1E8C">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重点关注</w:t>
                  </w:r>
                </w:p>
              </w:tc>
            </w:tr>
            <w:tr w14:paraId="25F2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0" w:type="dxa"/>
                  <w:noWrap w:val="0"/>
                  <w:vAlign w:val="center"/>
                </w:tcPr>
                <w:p w14:paraId="6F8590EC">
                  <w:pPr>
                    <w:keepNext w:val="0"/>
                    <w:keepLines w:val="0"/>
                    <w:pageBreakBefore w:val="0"/>
                    <w:numPr>
                      <w:ilvl w:val="0"/>
                      <w:numId w:val="0"/>
                    </w:numPr>
                    <w:kinsoku/>
                    <w:wordWrap/>
                    <w:overflowPunct/>
                    <w:topLinePunct w:val="0"/>
                    <w:autoSpaceDE/>
                    <w:autoSpaceDN/>
                    <w:bidi w:val="0"/>
                    <w:adjustRightInd/>
                    <w:snapToGrid/>
                    <w:spacing w:line="252" w:lineRule="auto"/>
                    <w:jc w:val="left"/>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当三个差异率评价指标出现一个“高风险”,或出现三个“中风险”时</w:t>
                  </w:r>
                </w:p>
              </w:tc>
              <w:tc>
                <w:tcPr>
                  <w:tcW w:w="1626" w:type="dxa"/>
                  <w:noWrap w:val="0"/>
                  <w:vAlign w:val="center"/>
                </w:tcPr>
                <w:p w14:paraId="0DF2C200">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需要关注</w:t>
                  </w:r>
                </w:p>
              </w:tc>
            </w:tr>
            <w:tr w14:paraId="6A80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0" w:type="dxa"/>
                  <w:noWrap w:val="0"/>
                  <w:vAlign w:val="center"/>
                </w:tcPr>
                <w:p w14:paraId="17D11E37">
                  <w:pPr>
                    <w:keepNext w:val="0"/>
                    <w:keepLines w:val="0"/>
                    <w:pageBreakBefore w:val="0"/>
                    <w:numPr>
                      <w:ilvl w:val="0"/>
                      <w:numId w:val="0"/>
                    </w:numPr>
                    <w:kinsoku/>
                    <w:wordWrap/>
                    <w:overflowPunct/>
                    <w:topLinePunct w:val="0"/>
                    <w:autoSpaceDE/>
                    <w:autoSpaceDN/>
                    <w:bidi w:val="0"/>
                    <w:adjustRightInd/>
                    <w:snapToGrid/>
                    <w:spacing w:line="252" w:lineRule="auto"/>
                    <w:jc w:val="left"/>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其他情况</w:t>
                  </w:r>
                </w:p>
              </w:tc>
              <w:tc>
                <w:tcPr>
                  <w:tcW w:w="1626" w:type="dxa"/>
                  <w:noWrap w:val="0"/>
                  <w:vAlign w:val="center"/>
                </w:tcPr>
                <w:p w14:paraId="5607A147">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vertAlign w:val="baseline"/>
                      <w:lang w:val="en-US" w:eastAsia="zh-CN"/>
                    </w:rPr>
                    <w:t>视情况关注</w:t>
                  </w:r>
                </w:p>
              </w:tc>
            </w:tr>
          </w:tbl>
          <w:p w14:paraId="7CE15F11">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技术实现</w:t>
            </w:r>
          </w:p>
          <w:p w14:paraId="5465E9F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w:t>
            </w:r>
            <w:r>
              <w:rPr>
                <w:rFonts w:hint="eastAsia" w:ascii="宋体" w:hAnsi="宋体" w:eastAsia="宋体" w:cs="宋体"/>
                <w:b/>
                <w:bCs/>
                <w:sz w:val="21"/>
                <w:szCs w:val="21"/>
                <w:lang w:val="en-US" w:eastAsia="zh-CN"/>
              </w:rPr>
              <w:t>业务实例</w:t>
            </w:r>
            <w:r>
              <w:rPr>
                <w:rFonts w:hint="eastAsia" w:ascii="宋体" w:hAnsi="宋体" w:eastAsia="宋体" w:cs="宋体"/>
                <w:b w:val="0"/>
                <w:bCs w:val="0"/>
                <w:sz w:val="21"/>
                <w:szCs w:val="21"/>
                <w:lang w:val="en-US" w:eastAsia="zh-CN"/>
              </w:rPr>
              <w:t>】</w:t>
            </w:r>
          </w:p>
          <w:p w14:paraId="144AB80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明康生物股份有限公司拟聘请×××会计师事务所对其20X0年财务报表进行审计，×××会计师事务所经过多轮内部研讨，决定承接明康公司20X0年财务报表审计业务。经过项目组讨论，决定采取“通过风险评估程序发现异常现象，在异常现象中挖掘审计疑点，基于审计疑点实施实质性程序”的审计思路。</w:t>
            </w:r>
          </w:p>
          <w:p w14:paraId="0FBE7C0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作为销售与收款业务风险评估程序的现场负责人，你决定应用大数据技术辅助完成分析程序，为发掘审计疑点提供帮助。</w:t>
            </w:r>
          </w:p>
          <w:p w14:paraId="4209F5E4">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数据准备</w:t>
            </w:r>
          </w:p>
          <w:p w14:paraId="494341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案例所用数据来自某经济金融型数据库。初始数据包含四类指标。</w:t>
            </w:r>
          </w:p>
          <w:p w14:paraId="4A82A7C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&gt;资产负债表相关指标：包含15个指标，指标编码为T1-*；</w:t>
            </w:r>
          </w:p>
          <w:p w14:paraId="3B603F6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&gt;利润表相关指标：包含10个指标，指标编码为T2-*；</w:t>
            </w:r>
          </w:p>
          <w:p w14:paraId="60580CF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&gt;现金流量表相关指标：包含4个指标，指标编码为T3-*；</w:t>
            </w:r>
          </w:p>
          <w:p w14:paraId="57D35DB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&gt;聚类指标：包含用于筛选出可比公司的6个基准指标。</w:t>
            </w:r>
          </w:p>
          <w:p w14:paraId="3CE9B7BA">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二、选取可比公司</w:t>
            </w:r>
          </w:p>
          <w:p w14:paraId="3874344F">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（一）聚类数据预处理</w:t>
            </w:r>
          </w:p>
          <w:p w14:paraId="72171372">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脚本处理思路：</w:t>
            </w:r>
          </w:p>
          <w:p w14:paraId="6D82D3B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&gt;股票代码类型转为字符串：删除开头为9的股票代码；</w:t>
            </w:r>
          </w:p>
          <w:p w14:paraId="0BC34C7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&gt;筛选报表类型为A的数据；</w:t>
            </w:r>
          </w:p>
          <w:p w14:paraId="3D4825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&gt;拆解日期为年、月、日3列数据；</w:t>
            </w:r>
          </w:p>
          <w:p w14:paraId="5872338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&gt;根据‘股票代码',‘年',‘月'合并3个表格数据；</w:t>
            </w:r>
          </w:p>
          <w:p w14:paraId="71D9F37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&gt;根据聚类指标数据删除缺失值记录，去重。</w:t>
            </w:r>
          </w:p>
          <w:p w14:paraId="1F4694F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342F073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70BDC49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zh-CN"/>
              </w:rPr>
              <w:t>导入所需库</w:t>
            </w:r>
          </w:p>
          <w:p w14:paraId="2655440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2.读取债务风险指标数据，并对其进行清洗</w:t>
            </w:r>
          </w:p>
          <w:p w14:paraId="3D1E55D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3</w:t>
            </w:r>
            <w:r>
              <w:rPr>
                <w:rFonts w:hint="eastAsia" w:ascii="宋体" w:hAnsi="宋体" w:cs="宋体"/>
                <w:kern w:val="2"/>
                <w:sz w:val="21"/>
                <w:szCs w:val="24"/>
                <w:lang w:val="en-US" w:eastAsia="zh-CN" w:bidi="ar-SA"/>
              </w:rPr>
              <w:t>.</w:t>
            </w:r>
            <w:r>
              <w:rPr>
                <w:rFonts w:hint="eastAsia" w:ascii="宋体" w:hAnsi="宋体" w:eastAsia="宋体" w:cs="宋体"/>
                <w:kern w:val="2"/>
                <w:sz w:val="21"/>
                <w:szCs w:val="24"/>
                <w:lang w:val="en-US" w:eastAsia="zh-CN" w:bidi="ar-SA"/>
              </w:rPr>
              <w:t>读取并清洗盈利模式指标数据</w:t>
            </w:r>
          </w:p>
          <w:p w14:paraId="4F54D7F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4</w:t>
            </w:r>
            <w:r>
              <w:rPr>
                <w:rFonts w:hint="eastAsia" w:ascii="宋体" w:hAnsi="宋体" w:cs="宋体"/>
                <w:kern w:val="2"/>
                <w:sz w:val="21"/>
                <w:szCs w:val="24"/>
                <w:lang w:val="en-US" w:eastAsia="zh-CN" w:bidi="ar-SA"/>
              </w:rPr>
              <w:t>.</w:t>
            </w:r>
            <w:r>
              <w:rPr>
                <w:rFonts w:hint="eastAsia" w:ascii="宋体" w:hAnsi="宋体" w:eastAsia="宋体" w:cs="宋体"/>
                <w:kern w:val="2"/>
                <w:sz w:val="21"/>
                <w:szCs w:val="24"/>
                <w:lang w:val="en-US" w:eastAsia="zh-CN" w:bidi="ar-SA"/>
              </w:rPr>
              <w:t>读取规模指标数据，并对其进行清洗</w:t>
            </w:r>
          </w:p>
          <w:p w14:paraId="7F39897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5</w:t>
            </w:r>
            <w:r>
              <w:rPr>
                <w:rFonts w:hint="eastAsia" w:ascii="宋体" w:hAnsi="宋体" w:cs="宋体"/>
                <w:kern w:val="2"/>
                <w:sz w:val="21"/>
                <w:szCs w:val="24"/>
                <w:lang w:val="en-US" w:eastAsia="zh-CN" w:bidi="ar-SA"/>
              </w:rPr>
              <w:t>.</w:t>
            </w:r>
            <w:r>
              <w:rPr>
                <w:rFonts w:hint="eastAsia" w:ascii="宋体" w:hAnsi="宋体" w:eastAsia="宋体" w:cs="宋体"/>
                <w:kern w:val="2"/>
                <w:sz w:val="21"/>
                <w:szCs w:val="24"/>
                <w:lang w:val="en-US" w:eastAsia="zh-CN" w:bidi="ar-SA"/>
              </w:rPr>
              <w:t>合并数据、去除空值、去重、保存</w:t>
            </w:r>
          </w:p>
          <w:p w14:paraId="39FFC04F">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（二）第一次聚类</w:t>
            </w:r>
          </w:p>
          <w:p w14:paraId="46DC513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子任务一：第一次聚类-数据标准化</w:t>
            </w:r>
          </w:p>
          <w:p w14:paraId="22F7854A">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5F2ED79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22B822E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导入库</w:t>
            </w:r>
            <w:r>
              <w:rPr>
                <w:rFonts w:hint="eastAsia" w:ascii="宋体" w:hAnsi="宋体" w:cs="宋体"/>
                <w:sz w:val="21"/>
                <w:szCs w:val="21"/>
                <w:lang w:val="en-US" w:eastAsia="zh-CN"/>
              </w:rPr>
              <w:t>、读取数据</w:t>
            </w:r>
          </w:p>
          <w:p w14:paraId="0201F12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提取所需数据</w:t>
            </w:r>
          </w:p>
          <w:p w14:paraId="5CEA539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数据标准化</w:t>
            </w:r>
          </w:p>
          <w:p w14:paraId="44EF4E0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子任务二：第一次聚类-训练模型</w:t>
            </w:r>
          </w:p>
          <w:p w14:paraId="06C9A31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447A550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点击【开始任务】-【任务2.py】,在上一任务脚本中继续编写。</w:t>
            </w:r>
          </w:p>
          <w:p w14:paraId="17C5F62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1.建立模型</w:t>
            </w:r>
          </w:p>
          <w:p w14:paraId="49C7D63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2.训练模型</w:t>
            </w:r>
          </w:p>
          <w:p w14:paraId="3610B76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子任务三：第一次聚类-评估模型</w:t>
            </w:r>
          </w:p>
          <w:p w14:paraId="168859E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4E81190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点击【开始任务】-【任务2.py】,在上一任务脚本中继续编写。</w:t>
            </w:r>
          </w:p>
          <w:p w14:paraId="05511F7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1.模型评估</w:t>
            </w:r>
          </w:p>
          <w:p w14:paraId="558C30B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定位6XX518股票代码的标签，保存该组数据</w:t>
            </w:r>
          </w:p>
          <w:p w14:paraId="4F97B29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（三）第二次聚类</w:t>
            </w:r>
          </w:p>
          <w:p w14:paraId="3E7497D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子任务一：第二次聚类-对保留数据进行第二次聚类</w:t>
            </w:r>
          </w:p>
          <w:p w14:paraId="3A4A7E7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149DAD4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1EB1CA8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导入库</w:t>
            </w:r>
          </w:p>
          <w:p w14:paraId="1EC63AB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获取数据</w:t>
            </w:r>
          </w:p>
          <w:p w14:paraId="3AC9EE5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数据标准化</w:t>
            </w:r>
          </w:p>
          <w:p w14:paraId="4DE14E2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建立模型</w:t>
            </w:r>
          </w:p>
          <w:p w14:paraId="776B5D3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训练模型</w:t>
            </w:r>
          </w:p>
          <w:p w14:paraId="2F1DBF2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评估模型</w:t>
            </w:r>
          </w:p>
          <w:p w14:paraId="146D550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保存数据</w:t>
            </w:r>
          </w:p>
          <w:p w14:paraId="5D924E4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子任务二：第二次聚类-聚类结果可视化</w:t>
            </w:r>
          </w:p>
          <w:p w14:paraId="58B5F8F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操作流程：</w:t>
            </w:r>
          </w:p>
          <w:p w14:paraId="1836C64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499FE75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1.导入画图库、读取数据</w:t>
            </w:r>
          </w:p>
          <w:p w14:paraId="13BD153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数据标准化</w:t>
            </w:r>
          </w:p>
          <w:p w14:paraId="5C8099A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画图准备</w:t>
            </w:r>
          </w:p>
          <w:p w14:paraId="74E4376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整理x，y轴所需数据</w:t>
            </w:r>
          </w:p>
          <w:p w14:paraId="1653A1C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使用pyecharts中的Scatter()函数绘制散点图</w:t>
            </w:r>
          </w:p>
          <w:p w14:paraId="798C6C6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三、数据可视化</w:t>
            </w:r>
          </w:p>
          <w:p w14:paraId="2BFF125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（一）可视化数据预处理</w:t>
            </w:r>
          </w:p>
          <w:p w14:paraId="1049F091">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处理思路：</w:t>
            </w:r>
          </w:p>
          <w:p w14:paraId="5DA3F3F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&gt;针对不同的表格数据，筛选满足条件的数据；</w:t>
            </w:r>
          </w:p>
          <w:p w14:paraId="5F26564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&gt;统一每个表格的列名，选取报表类型为A类（或1类）；</w:t>
            </w:r>
          </w:p>
          <w:p w14:paraId="700B8E6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&gt;每个表格保存'股票代码', '截止日期' '最后一列' 三列数据。</w:t>
            </w:r>
          </w:p>
          <w:p w14:paraId="1A9F88C4">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004848D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73E7BD1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1.</w:t>
            </w:r>
            <w:r>
              <w:rPr>
                <w:rFonts w:hint="eastAsia" w:ascii="宋体" w:hAnsi="宋体" w:eastAsia="宋体" w:cs="宋体"/>
                <w:sz w:val="21"/>
                <w:szCs w:val="21"/>
                <w:lang w:val="en-US" w:eastAsia="zh-CN"/>
              </w:rPr>
              <w:t>导入所需库</w:t>
            </w:r>
          </w:p>
          <w:p w14:paraId="022B79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获取股票代码清单</w:t>
            </w:r>
          </w:p>
          <w:p w14:paraId="6738BA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获取数据文件名</w:t>
            </w:r>
          </w:p>
          <w:p w14:paraId="7629F4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读取文件中的数据，并筛选所需数据</w:t>
            </w:r>
          </w:p>
          <w:p w14:paraId="2BFD575D">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（二）数据合并</w:t>
            </w:r>
          </w:p>
          <w:p w14:paraId="0B4B87F7">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处理思路：</w:t>
            </w:r>
          </w:p>
          <w:p w14:paraId="497C32B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&gt;获取04数据可视化与处理脚本保存的数据；</w:t>
            </w:r>
          </w:p>
          <w:p w14:paraId="3D25FE1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&gt;根据'股票代码', '截止日期'，将多个文件汇总于一张表格内。</w:t>
            </w:r>
          </w:p>
          <w:p w14:paraId="0D155744">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6BDFA8C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394923E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导入所需库</w:t>
            </w:r>
          </w:p>
          <w:p w14:paraId="522820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读取数据结果文件夹，获取文件名称列表</w:t>
            </w:r>
          </w:p>
          <w:p w14:paraId="76406F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遍历文件夹，进行数据合并</w:t>
            </w:r>
          </w:p>
          <w:p w14:paraId="0E8604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保存文件</w:t>
            </w:r>
          </w:p>
          <w:p w14:paraId="6A4F258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（三）构造年度区间</w:t>
            </w:r>
          </w:p>
          <w:p w14:paraId="2EBE3AFD">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处理思路：</w:t>
            </w:r>
          </w:p>
          <w:p w14:paraId="29AE7E9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&gt;找到最小时间 最大时间</w:t>
            </w:r>
          </w:p>
          <w:p w14:paraId="3908228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&gt;构造年度区间</w:t>
            </w:r>
          </w:p>
          <w:p w14:paraId="75C44C3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&gt;填充股票代码：使用上一个、或者下一个股票代码填充，指标数据不补充（即只占位不影响数据结果）</w:t>
            </w:r>
          </w:p>
          <w:p w14:paraId="0DAB34A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&gt;保存处理结果</w:t>
            </w:r>
          </w:p>
          <w:p w14:paraId="0BDD2F6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3C6F183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5AA43AA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引入所需库</w:t>
            </w:r>
          </w:p>
          <w:p w14:paraId="21CE8A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获取年度的最小时间和最大时间</w:t>
            </w:r>
          </w:p>
          <w:p w14:paraId="66302DA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根据最小最大构造年度区间数据</w:t>
            </w:r>
          </w:p>
          <w:p w14:paraId="0D6060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保存文件</w:t>
            </w:r>
          </w:p>
          <w:p w14:paraId="6E56F37D">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（四）数据可视化</w:t>
            </w:r>
          </w:p>
          <w:p w14:paraId="3B8AFE9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子任务一：截取可比公司、目标公司数据</w:t>
            </w:r>
          </w:p>
          <w:p w14:paraId="303585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导入并读取所需数据库</w:t>
            </w:r>
          </w:p>
          <w:p w14:paraId="0C0115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截取被审计单位及可比公司（聚类同组公司）数据</w:t>
            </w:r>
          </w:p>
          <w:p w14:paraId="3CD4E58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保存数据</w:t>
            </w:r>
          </w:p>
          <w:p w14:paraId="06F862F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子任务二：计算行业均值</w:t>
            </w:r>
          </w:p>
          <w:p w14:paraId="5027308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70E34E6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sz w:val="21"/>
                <w:szCs w:val="21"/>
                <w:lang w:val="en-US" w:eastAsia="zh-CN"/>
              </w:rPr>
              <w:t>点击【开始任务】，在上一任务脚本中继续编写。</w:t>
            </w:r>
          </w:p>
          <w:p w14:paraId="40712D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获取剩余公司股票代码列表</w:t>
            </w:r>
          </w:p>
          <w:p w14:paraId="7877C7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计算剩余公司的均值</w:t>
            </w:r>
          </w:p>
          <w:p w14:paraId="326982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保存均值</w:t>
            </w:r>
          </w:p>
          <w:p w14:paraId="5338AF5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子任务三：数据可视化展现</w:t>
            </w:r>
          </w:p>
          <w:p w14:paraId="5DF128CE">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61EC65B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56D909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导入并读取所需数据库</w:t>
            </w:r>
          </w:p>
          <w:p w14:paraId="68F542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准备X轴、Y轴所需数据</w:t>
            </w:r>
          </w:p>
          <w:p w14:paraId="36C4BD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绘图</w:t>
            </w:r>
          </w:p>
          <w:p w14:paraId="0EAF1C6A">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四、风险评估</w:t>
            </w:r>
          </w:p>
          <w:p w14:paraId="4C3478E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子任务一：审计年度与上年度对比</w:t>
            </w:r>
          </w:p>
          <w:p w14:paraId="7EC7CC9F">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00956C6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115CC5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导入并读取所需数据库</w:t>
            </w:r>
          </w:p>
          <w:p w14:paraId="49538D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提取数据</w:t>
            </w:r>
          </w:p>
          <w:p w14:paraId="27A15C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计算纵向差异率</w:t>
            </w:r>
          </w:p>
          <w:p w14:paraId="75E339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标记低、中、高风险</w:t>
            </w:r>
          </w:p>
          <w:p w14:paraId="2EE230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保存数据</w:t>
            </w:r>
          </w:p>
          <w:p w14:paraId="67186F5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子任务二：目标公司与可比公司对比</w:t>
            </w:r>
          </w:p>
          <w:p w14:paraId="03774EA1">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6DD394A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49D3CC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导入pandas库、读取表、提取目标公司数据</w:t>
            </w:r>
          </w:p>
          <w:p w14:paraId="417213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与可比公司（6XX196）进行对比</w:t>
            </w:r>
          </w:p>
          <w:p w14:paraId="057BA1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与可比公司（6XXX79）进行对比</w:t>
            </w:r>
          </w:p>
          <w:p w14:paraId="46CB7D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保存数据</w:t>
            </w:r>
          </w:p>
          <w:p w14:paraId="3EEE01C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子任务三：目标公司与行业均值对比</w:t>
            </w:r>
          </w:p>
          <w:p w14:paraId="5A8863DA">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75D0846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2EEDE9F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导入pandas库、读取表、提取目标公司数据</w:t>
            </w:r>
          </w:p>
          <w:p w14:paraId="17EA225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提取行业均值数据</w:t>
            </w:r>
          </w:p>
          <w:p w14:paraId="391EC8F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计算横向行业差异率</w:t>
            </w:r>
          </w:p>
          <w:p w14:paraId="3506B35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4</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标记低、中、高风险</w:t>
            </w:r>
          </w:p>
          <w:p w14:paraId="75EAC67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5</w:t>
            </w:r>
            <w:r>
              <w:rPr>
                <w:rFonts w:hint="eastAsia" w:ascii="宋体" w:hAnsi="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保存数据</w:t>
            </w:r>
          </w:p>
          <w:p w14:paraId="03D3733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子任务四：综合风险评估</w:t>
            </w:r>
          </w:p>
          <w:p w14:paraId="488B3E4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0A2F97D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2201B87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导入pandas库、读取表、合并数据</w:t>
            </w:r>
          </w:p>
          <w:p w14:paraId="4907EF7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计算三个角度高、中、低风险出现次数</w:t>
            </w:r>
          </w:p>
          <w:p w14:paraId="317A90F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综合评价应关注程度</w:t>
            </w:r>
          </w:p>
          <w:p w14:paraId="42FE580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保存数据</w:t>
            </w:r>
          </w:p>
          <w:p w14:paraId="544B72E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14:paraId="07E51AA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color w:val="auto"/>
                <w:sz w:val="21"/>
                <w:szCs w:val="21"/>
                <w:lang w:val="en-US" w:eastAsia="zh-CN"/>
              </w:rPr>
              <w:t>风险评估师岗位职责</w:t>
            </w:r>
          </w:p>
          <w:p w14:paraId="7F66F5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1.对目标企业的资产、负债、经营、财务状况、法律关系以及所面临的机会和潜在的风险等进行一系列全面深入的审核；</w:t>
            </w:r>
            <w:r>
              <w:rPr>
                <w:rFonts w:hint="eastAsia" w:ascii="宋体" w:hAnsi="宋体" w:eastAsia="宋体" w:cs="宋体"/>
                <w:b w:val="0"/>
                <w:bCs w:val="0"/>
                <w:color w:val="auto"/>
                <w:sz w:val="21"/>
                <w:szCs w:val="21"/>
                <w:lang w:val="en-US" w:eastAsia="zh-CN"/>
              </w:rPr>
              <w:br w:type="textWrapping"/>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lang w:val="en-US" w:eastAsia="zh-CN"/>
              </w:rPr>
              <w:t>2.参与现场实地考察，判断项目立项的依据，评估其内在价值、商业风险、法律风险，交易结构、资管利益来源（还款）、担保物是否足值、是否易于处置，担保人是否具有担保实力、合法合规性；</w:t>
            </w:r>
            <w:r>
              <w:rPr>
                <w:rFonts w:hint="eastAsia" w:ascii="宋体" w:hAnsi="宋体" w:eastAsia="宋体" w:cs="宋体"/>
                <w:b w:val="0"/>
                <w:bCs w:val="0"/>
                <w:color w:val="auto"/>
                <w:sz w:val="21"/>
                <w:szCs w:val="21"/>
                <w:lang w:val="en-US" w:eastAsia="zh-CN"/>
              </w:rPr>
              <w:br w:type="textWrapping"/>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lang w:val="en-US" w:eastAsia="zh-CN"/>
              </w:rPr>
              <w:t>3.对调查做好谈话笔录、现场拍照或摄像等工作，通过搜集审阅资料和实地考察后，对资料进行佐证来验证资料的真伪性，重要资料应做好原件核对并出具尽职调查报告；</w:t>
            </w:r>
            <w:r>
              <w:rPr>
                <w:rFonts w:hint="eastAsia" w:ascii="宋体" w:hAnsi="宋体" w:eastAsia="宋体" w:cs="宋体"/>
                <w:b w:val="0"/>
                <w:bCs w:val="0"/>
                <w:color w:val="auto"/>
                <w:sz w:val="21"/>
                <w:szCs w:val="21"/>
                <w:lang w:val="en-US" w:eastAsia="zh-CN"/>
              </w:rPr>
              <w:br w:type="textWrapping"/>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lang w:val="en-US" w:eastAsia="zh-CN"/>
              </w:rPr>
              <w:t>4.确定组织承受风险的能力，推荐风险消减对策，制定风控措施；</w:t>
            </w:r>
            <w:r>
              <w:rPr>
                <w:rFonts w:hint="eastAsia" w:ascii="宋体" w:hAnsi="宋体" w:eastAsia="宋体" w:cs="宋体"/>
                <w:b w:val="0"/>
                <w:bCs w:val="0"/>
                <w:color w:val="auto"/>
                <w:sz w:val="21"/>
                <w:szCs w:val="21"/>
                <w:lang w:val="en-US" w:eastAsia="zh-CN"/>
              </w:rPr>
              <w:br w:type="textWrapping"/>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lang w:val="en-US" w:eastAsia="zh-CN"/>
              </w:rPr>
              <w:t>5.对调查目标资料的真实性、调查报告反映情况的真实性、业务调查的全面性、深入性负责；</w:t>
            </w:r>
            <w:r>
              <w:rPr>
                <w:rFonts w:hint="eastAsia" w:ascii="宋体" w:hAnsi="宋体" w:eastAsia="宋体" w:cs="宋体"/>
                <w:b w:val="0"/>
                <w:bCs w:val="0"/>
                <w:color w:val="auto"/>
                <w:sz w:val="21"/>
                <w:szCs w:val="21"/>
                <w:lang w:val="en-US" w:eastAsia="zh-CN"/>
              </w:rPr>
              <w:br w:type="textWrapping"/>
            </w:r>
            <w:r>
              <w:rPr>
                <w:rFonts w:hint="eastAsia" w:ascii="宋体" w:hAnsi="宋体" w:cs="宋体"/>
                <w:b w:val="0"/>
                <w:bCs w:val="0"/>
                <w:color w:val="auto"/>
                <w:sz w:val="21"/>
                <w:szCs w:val="21"/>
                <w:lang w:val="en-US" w:eastAsia="zh-CN"/>
              </w:rPr>
              <w:t xml:space="preserve">    </w:t>
            </w:r>
            <w:r>
              <w:rPr>
                <w:rFonts w:hint="eastAsia" w:ascii="宋体" w:hAnsi="宋体" w:eastAsia="宋体" w:cs="宋体"/>
                <w:b w:val="0"/>
                <w:bCs w:val="0"/>
                <w:color w:val="auto"/>
                <w:sz w:val="21"/>
                <w:szCs w:val="21"/>
                <w:lang w:val="en-US" w:eastAsia="zh-CN"/>
              </w:rPr>
              <w:t>6.依据调查报告及行业规定制定相关政策方案。</w:t>
            </w:r>
          </w:p>
          <w:p w14:paraId="53CD877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14:paraId="6F2BBC9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left"/>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大数据技术引领风险导向审计创新发展</w:t>
            </w:r>
          </w:p>
        </w:tc>
      </w:tr>
    </w:tbl>
    <w:p w14:paraId="636A578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A66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3509C9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本项目重点介绍了利用大数据审计平台进行风险评估分析的实操过程。重点介绍了风险评估相关知识：什么是风险评估；风险评估在审计工作中的地位；风险评估可执行的审计程序有哪些。介绍了利用Python技术进行风险评估分析的流程：数据准备——资产负债表指标、利润表指标、现金流量表指标和聚类指标；选取可比公司——聚类数据预处理、第一次聚类和第二次聚类；数据可视化——可视化数据预处理、数据合并、构造年度区间和数据可视化；风险评估——审计年度与上年度对比、目标公司与可比公司对比、目标公司与行业均值对比和综合风险评估。</w:t>
            </w:r>
          </w:p>
        </w:tc>
      </w:tr>
    </w:tbl>
    <w:p w14:paraId="192F06D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7F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176AD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3E8862B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在大数据审计平台中，数据挖掘工具内置了常用数据挖掘模型，通过输入数据、设置参数、自动完成模型运行，无需进行代码编写，请尝试使用该工具对本项目中提供的指标数据加以整理、尝试设计模型，进行回归分析。</w:t>
            </w:r>
          </w:p>
          <w:p w14:paraId="4F65B8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14:paraId="2BC17E67">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071ADD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val="0"/>
          <w:sz w:val="21"/>
          <w:szCs w:val="21"/>
          <w:lang w:val="en-US" w:eastAsia="zh-CN"/>
        </w:rPr>
      </w:pPr>
      <w:bookmarkStart w:id="0" w:name="_GoBack"/>
      <w:r>
        <w:rPr>
          <w:rFonts w:hint="eastAsia" w:ascii="宋体" w:hAnsi="宋体" w:eastAsia="宋体" w:cs="宋体"/>
          <w:b w:val="0"/>
          <w:bCs w:val="0"/>
          <w:sz w:val="24"/>
          <w:szCs w:val="24"/>
          <w:lang w:val="en-US" w:eastAsia="zh-CN"/>
        </w:rPr>
        <w:t>运用多种信息化手段与资源，随堂测试结果显示，学生已掌握</w:t>
      </w:r>
      <w:r>
        <w:rPr>
          <w:rFonts w:hint="eastAsia" w:ascii="宋体" w:hAnsi="宋体" w:eastAsia="宋体" w:cs="宋体"/>
          <w:i w:val="0"/>
          <w:iCs w:val="0"/>
          <w:caps w:val="0"/>
          <w:color w:val="auto"/>
          <w:spacing w:val="0"/>
          <w:sz w:val="24"/>
          <w:szCs w:val="24"/>
          <w:shd w:val="clear" w:color="auto" w:fill="FFFFFF"/>
        </w:rPr>
        <w:t>风险评估的信息来源</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风险评估阶段询问程序</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观察和检查程序</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分析程序的意义及目的</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w:t>
      </w:r>
      <w:r>
        <w:rPr>
          <w:rFonts w:hint="eastAsia" w:ascii="宋体" w:hAnsi="宋体" w:eastAsia="宋体" w:cs="宋体"/>
          <w:i w:val="0"/>
          <w:iCs w:val="0"/>
          <w:caps w:val="0"/>
          <w:color w:val="auto"/>
          <w:spacing w:val="0"/>
          <w:sz w:val="24"/>
          <w:szCs w:val="24"/>
          <w:shd w:val="clear" w:color="auto" w:fill="FFFFFF"/>
          <w:lang w:val="en-US" w:eastAsia="zh-CN"/>
        </w:rPr>
        <w:t>使用</w:t>
      </w:r>
      <w:r>
        <w:rPr>
          <w:rFonts w:hint="eastAsia" w:ascii="宋体" w:hAnsi="宋体" w:eastAsia="宋体" w:cs="宋体"/>
          <w:i w:val="0"/>
          <w:iCs w:val="0"/>
          <w:caps w:val="0"/>
          <w:color w:val="auto"/>
          <w:spacing w:val="0"/>
          <w:sz w:val="24"/>
          <w:szCs w:val="24"/>
          <w:shd w:val="clear" w:color="auto" w:fill="FFFFFF"/>
        </w:rPr>
        <w:t>聚类分析技术</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多维海量数据处理方法</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批量绘图方法</w:t>
      </w:r>
      <w:r>
        <w:rPr>
          <w:rFonts w:hint="eastAsia" w:ascii="宋体" w:hAnsi="宋体" w:eastAsia="宋体" w:cs="宋体"/>
          <w:i w:val="0"/>
          <w:iCs w:val="0"/>
          <w:caps w:val="0"/>
          <w:color w:val="auto"/>
          <w:spacing w:val="0"/>
          <w:sz w:val="24"/>
          <w:szCs w:val="24"/>
          <w:shd w:val="clear" w:color="auto" w:fill="FFFFFF"/>
          <w:lang w:val="en-US" w:eastAsia="zh-CN"/>
        </w:rPr>
        <w:t>和</w:t>
      </w:r>
      <w:r>
        <w:rPr>
          <w:rFonts w:hint="eastAsia" w:ascii="宋体" w:hAnsi="宋体" w:eastAsia="宋体" w:cs="宋体"/>
          <w:i w:val="0"/>
          <w:iCs w:val="0"/>
          <w:caps w:val="0"/>
          <w:color w:val="auto"/>
          <w:spacing w:val="0"/>
          <w:sz w:val="24"/>
          <w:szCs w:val="24"/>
          <w:shd w:val="clear" w:color="auto" w:fill="FFFFFF"/>
        </w:rPr>
        <w:t>K-means聚类方法</w:t>
      </w:r>
      <w:r>
        <w:rPr>
          <w:rFonts w:hint="eastAsia" w:ascii="宋体" w:hAnsi="宋体" w:eastAsia="宋体" w:cs="宋体"/>
          <w:i w:val="0"/>
          <w:iCs w:val="0"/>
          <w:caps w:val="0"/>
          <w:color w:val="auto"/>
          <w:spacing w:val="0"/>
          <w:sz w:val="24"/>
          <w:szCs w:val="24"/>
          <w:shd w:val="clear" w:color="auto" w:fill="FFFFFF"/>
          <w:lang w:val="en-US" w:eastAsia="zh-CN"/>
        </w:rPr>
        <w:t>进行数据对比和风险评分</w:t>
      </w:r>
      <w:r>
        <w:rPr>
          <w:rFonts w:hint="eastAsia" w:ascii="宋体" w:hAnsi="宋体" w:eastAsia="宋体" w:cs="宋体"/>
          <w:b w:val="0"/>
          <w:bCs w:val="0"/>
          <w:sz w:val="24"/>
          <w:szCs w:val="24"/>
          <w:lang w:val="en-US" w:eastAsia="zh-CN"/>
        </w:rPr>
        <w:t>，</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w:t>
      </w:r>
      <w:r>
        <w:rPr>
          <w:rFonts w:hint="eastAsia" w:ascii="宋体" w:hAnsi="宋体" w:eastAsia="宋体" w:cs="宋体"/>
          <w:b w:val="0"/>
          <w:bCs w:val="0"/>
          <w:color w:val="auto"/>
          <w:sz w:val="24"/>
          <w:szCs w:val="24"/>
          <w:lang w:val="en-US" w:eastAsia="zh-CN"/>
        </w:rPr>
        <w:t>诚信为本、独立客观的专业态度</w:t>
      </w:r>
      <w:r>
        <w:rPr>
          <w:rFonts w:hint="eastAsia" w:ascii="宋体" w:hAnsi="宋体" w:cs="宋体"/>
          <w:b w:val="0"/>
          <w:bCs w:val="0"/>
          <w:sz w:val="24"/>
          <w:szCs w:val="24"/>
          <w:lang w:val="en-US" w:eastAsia="zh-CN"/>
        </w:rPr>
        <w:t>，</w:t>
      </w:r>
      <w:r>
        <w:rPr>
          <w:rFonts w:hint="eastAsia" w:ascii="宋体" w:hAnsi="宋体" w:eastAsia="宋体" w:cs="宋体"/>
          <w:b w:val="0"/>
          <w:bCs w:val="0"/>
          <w:color w:val="auto"/>
          <w:sz w:val="24"/>
          <w:szCs w:val="24"/>
          <w:lang w:val="en-US" w:eastAsia="zh-CN"/>
        </w:rPr>
        <w:t>专业自信、价值创造的职业信念</w:t>
      </w:r>
      <w:r>
        <w:rPr>
          <w:rFonts w:hint="eastAsia" w:ascii="宋体" w:hAnsi="宋体" w:cs="宋体"/>
          <w:b w:val="0"/>
          <w:bCs w:val="0"/>
          <w:color w:val="auto"/>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 xml:space="preserve">。 </w:t>
      </w:r>
      <w:bookmarkEnd w:id="0"/>
      <w:r>
        <w:rPr>
          <w:rFonts w:hint="eastAsia" w:ascii="宋体" w:hAnsi="宋体" w:eastAsia="宋体" w:cs="宋体"/>
          <w:b w:val="0"/>
          <w:bCs w:val="0"/>
          <w:sz w:val="21"/>
          <w:szCs w:val="21"/>
          <w:lang w:val="en-US" w:eastAsia="zh-CN"/>
        </w:rPr>
        <w:t xml:space="preserve">     </w:t>
      </w:r>
    </w:p>
    <w:p w14:paraId="420B86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DBhM2FhZmEzMjBmZWE2MTNkNDkzZTc3YTQwYzYifQ=="/>
  </w:docVars>
  <w:rsids>
    <w:rsidRoot w:val="00000000"/>
    <w:rsid w:val="06AF5B92"/>
    <w:rsid w:val="13222ACB"/>
    <w:rsid w:val="2C826BBB"/>
    <w:rsid w:val="554D2603"/>
    <w:rsid w:val="5B2D074B"/>
    <w:rsid w:val="5BD7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5318</Words>
  <Characters>5696</Characters>
  <Lines>0</Lines>
  <Paragraphs>0</Paragraphs>
  <TotalTime>0</TotalTime>
  <ScaleCrop>false</ScaleCrop>
  <LinksUpToDate>false</LinksUpToDate>
  <CharactersWithSpaces>5739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2024-09-24T13:59:26Z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D5AC3303BCBD4B1EA4B0934E3CDB6593_12</vt:lpwstr>
  </property>
</Properties>
</file>